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FAF" w:rsidRDefault="002E0DF4">
      <w:pPr>
        <w:pStyle w:val="Standard"/>
        <w:jc w:val="right"/>
        <w:rPr>
          <w:b/>
          <w:bCs/>
        </w:rPr>
      </w:pPr>
      <w:r w:rsidRPr="003E5888">
        <w:rPr>
          <w:noProof/>
          <w:lang w:eastAsia="fr-FR" w:bidi="ar-SA"/>
        </w:rPr>
        <w:drawing>
          <wp:inline distT="0" distB="0" distL="0" distR="0" wp14:anchorId="6F4377DB" wp14:editId="0A5A068C">
            <wp:extent cx="961587" cy="63962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61587" cy="639629"/>
                    </a:xfrm>
                    <a:prstGeom prst="rect">
                      <a:avLst/>
                    </a:prstGeom>
                  </pic:spPr>
                </pic:pic>
              </a:graphicData>
            </a:graphic>
          </wp:inline>
        </w:drawing>
      </w:r>
      <w:r>
        <w:rPr>
          <w:b/>
          <w:bCs/>
        </w:rPr>
        <w:t xml:space="preserve">                                                                               </w:t>
      </w:r>
      <w:r w:rsidR="008E7D4C">
        <w:rPr>
          <w:b/>
          <w:bCs/>
        </w:rPr>
        <w:t>Fiche pratique GT poldoc ADBU</w:t>
      </w:r>
    </w:p>
    <w:p w:rsidR="00AB2FAF" w:rsidRDefault="008E7D4C">
      <w:pPr>
        <w:pStyle w:val="Standard"/>
        <w:jc w:val="center"/>
      </w:pPr>
      <w:r>
        <w:rPr>
          <w:b/>
          <w:bCs/>
          <w:noProof/>
          <w:lang w:eastAsia="fr-FR" w:bidi="ar-S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114969</wp:posOffset>
                </wp:positionV>
                <wp:extent cx="6169557" cy="467999"/>
                <wp:effectExtent l="0" t="0" r="22225" b="27305"/>
                <wp:wrapNone/>
                <wp:docPr id="1" name="Forme 1"/>
                <wp:cNvGraphicFramePr/>
                <a:graphic xmlns:a="http://schemas.openxmlformats.org/drawingml/2006/main">
                  <a:graphicData uri="http://schemas.microsoft.com/office/word/2010/wordprocessingShape">
                    <wps:wsp>
                      <wps:cNvSpPr/>
                      <wps:spPr>
                        <a:xfrm>
                          <a:off x="0" y="0"/>
                          <a:ext cx="6169557" cy="467999"/>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0" cap="flat">
                          <a:solidFill>
                            <a:srgbClr val="000000"/>
                          </a:solidFill>
                          <a:prstDash val="solid"/>
                          <a:miter/>
                        </a:ln>
                      </wps:spPr>
                      <wps:txbx>
                        <w:txbxContent>
                          <w:p w:rsidR="00AB2FAF" w:rsidRDefault="008E7D4C" w:rsidP="00F96DE3">
                            <w:pPr>
                              <w:jc w:val="center"/>
                            </w:pPr>
                            <w:r>
                              <w:rPr>
                                <w:rFonts w:ascii="Arial Black" w:hAnsi="Arial Black"/>
                                <w:b/>
                                <w:bCs/>
                                <w:color w:val="BE480A"/>
                              </w:rPr>
                              <w:t>ORGANIGRAMME : COMMENT PEUT-IL AIDER LA POLITIQUE DOCUMENTAIRE</w:t>
                            </w:r>
                          </w:p>
                        </w:txbxContent>
                      </wps:txbx>
                      <wps:bodyPr vert="horz" wrap="square" lIns="722" tIns="722" rIns="722" bIns="722" anchor="ctr" anchorCtr="0" compatLnSpc="0">
                        <a:noAutofit/>
                      </wps:bodyPr>
                    </wps:wsp>
                  </a:graphicData>
                </a:graphic>
                <wp14:sizeRelH relativeFrom="margin">
                  <wp14:pctWidth>0</wp14:pctWidth>
                </wp14:sizeRelH>
              </wp:anchor>
            </w:drawing>
          </mc:Choice>
          <mc:Fallback>
            <w:pict>
              <v:shape id="Forme 1" o:spid="_x0000_s1026" style="position:absolute;left:0;text-align:left;margin-left:0;margin-top:9.05pt;width:485.8pt;height:36.85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" adj="-11796480,,5400" path="m,l21600,r,21600l,21600,,xe" strokeweight="0">
                <v:stroke joinstyle="miter"/>
                <v:formulas/>
                <v:path arrowok="t" o:connecttype="custom" o:connectlocs="3084779,0;6169557,234000;3084779,467999;0,234000" o:connectangles="270,0,90,180" textboxrect="0,0,21600,21600"/>
                <v:textbox inset=".02006mm,.02006mm,.02006mm,.02006mm">
                  <w:txbxContent>
                    <w:p w:rsidR="00AB2FAF" w:rsidRDefault="008E7D4C" w:rsidP="00F96DE3">
                      <w:pPr>
                        <w:jc w:val="center"/>
                      </w:pPr>
                      <w:r>
                        <w:rPr>
                          <w:rFonts w:ascii="Arial Black" w:hAnsi="Arial Black"/>
                          <w:b/>
                          <w:bCs/>
                          <w:color w:val="BE480A"/>
                        </w:rPr>
                        <w:t>ORGANIGRAMME : COMMENT PEUT-IL AIDER LA POLITIQUE DOCUMENTAIRE</w:t>
                      </w:r>
                    </w:p>
                  </w:txbxContent>
                </v:textbox>
                <w10:wrap anchorx="margin"/>
              </v:shape>
            </w:pict>
          </mc:Fallback>
        </mc:AlternateContent>
      </w:r>
    </w:p>
    <w:p w:rsidR="00AB2FAF" w:rsidRDefault="00AB2FAF">
      <w:pPr>
        <w:pStyle w:val="Standard"/>
        <w:jc w:val="center"/>
        <w:rPr>
          <w:b/>
          <w:bCs/>
        </w:rPr>
      </w:pPr>
    </w:p>
    <w:p w:rsidR="00AB2FAF" w:rsidRDefault="00AB2FAF">
      <w:pPr>
        <w:pStyle w:val="Standard"/>
      </w:pPr>
    </w:p>
    <w:p w:rsidR="00AB2FAF" w:rsidRDefault="00AB2FAF">
      <w:pPr>
        <w:pStyle w:val="Paragraphedeliste"/>
        <w:jc w:val="both"/>
      </w:pPr>
    </w:p>
    <w:tbl>
      <w:tblPr>
        <w:tblW w:w="9638" w:type="dxa"/>
        <w:tblLayout w:type="fixed"/>
        <w:tblCellMar>
          <w:left w:w="10" w:type="dxa"/>
          <w:right w:w="10" w:type="dxa"/>
        </w:tblCellMar>
        <w:tblLook w:val="0000" w:firstRow="0" w:lastRow="0" w:firstColumn="0" w:lastColumn="0" w:noHBand="0" w:noVBand="0"/>
      </w:tblPr>
      <w:tblGrid>
        <w:gridCol w:w="9638"/>
      </w:tblGrid>
      <w:tr w:rsidR="00AB2FAF" w:rsidTr="002E0DF4">
        <w:trPr>
          <w:trHeight w:val="5010"/>
        </w:trPr>
        <w:tc>
          <w:tcPr>
            <w:tcW w:w="963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B2FAF" w:rsidRDefault="008E7D4C">
            <w:pPr>
              <w:pStyle w:val="TableContents"/>
              <w:jc w:val="both"/>
            </w:pPr>
            <w:r>
              <w:rPr>
                <w:b/>
                <w:bCs/>
                <w:color w:val="BE480A"/>
              </w:rPr>
              <w:t>Problématique</w:t>
            </w:r>
          </w:p>
          <w:p w:rsidR="00AB2FAF" w:rsidRDefault="008E7D4C">
            <w:pPr>
              <w:pStyle w:val="TableContents"/>
              <w:jc w:val="both"/>
            </w:pPr>
            <w:r>
              <w:t>Comment animer et faire vivre une politique documentaire lorsque définition et mise en œuvre ne sont pas du ressort du même service ?</w:t>
            </w:r>
          </w:p>
          <w:p w:rsidR="00AB2FAF" w:rsidRDefault="008E7D4C">
            <w:pPr>
              <w:pStyle w:val="TableContents"/>
              <w:jc w:val="both"/>
            </w:pPr>
            <w:r>
              <w:t xml:space="preserve">L’organigramme de l’établissement annonce trois pôles qui ne correspondent pas tout à fait à des thématiques mais à des sites ; un département collections en charge de la définition de la politique documentaire, de la gestion des périodiques et de la conservation ; un département des services aux publics ; un département des services numériques et de la recherche ; et un service Formation en appui aux enseignements. </w:t>
            </w:r>
          </w:p>
          <w:p w:rsidR="00AB2FAF" w:rsidRDefault="008E7D4C">
            <w:pPr>
              <w:pStyle w:val="TableContents"/>
              <w:jc w:val="both"/>
            </w:pPr>
            <w:r>
              <w:t>La politique documentaire est décorrélée de la gestion des collections. Les trois pôles sont relativement hermétiques entre eux pour ce qui concerne la gestion des collections. Le département collections gère le budget et la politique documentaire en validant notamment les commandes mais il ne gère pas les agents qui la mettent en œuvre en ne donnant pas, par exemple, d’objectifs aux agents. La documentation électronique est gérée par le département des services numérique et de la recherche.</w:t>
            </w:r>
          </w:p>
          <w:p w:rsidR="00AB2FAF" w:rsidRDefault="008E7D4C">
            <w:pPr>
              <w:pStyle w:val="TableContents"/>
              <w:jc w:val="both"/>
            </w:pPr>
            <w:r>
              <w:t>Les responsables de département et de pôles dépendent du directeur du SCD. Les acquéreurs, catalogueurs et les magasiniers référents sont sous la responsabilité des chefs de pôles et n’ont pas de liens hiérarchiques avec le département collections. L’ensemble des agents en charge de la gestion des collections ne savent pas toujours vers qui se tourner en fonction du problème rencontré.</w:t>
            </w:r>
          </w:p>
        </w:tc>
      </w:tr>
      <w:tr w:rsidR="00AB2FAF" w:rsidTr="002E0DF4">
        <w:trPr>
          <w:trHeight w:val="4129"/>
        </w:trPr>
        <w:tc>
          <w:tcPr>
            <w:tcW w:w="963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B2FAF" w:rsidRDefault="008E7D4C">
            <w:pPr>
              <w:pStyle w:val="TableContents"/>
              <w:jc w:val="both"/>
            </w:pPr>
            <w:r>
              <w:rPr>
                <w:b/>
                <w:bCs/>
                <w:color w:val="BE480A"/>
              </w:rPr>
              <w:t>Recommandations</w:t>
            </w:r>
          </w:p>
          <w:p w:rsidR="00AB2FAF" w:rsidRDefault="008E7D4C">
            <w:r>
              <w:t>Choix des solutions retenues :</w:t>
            </w:r>
          </w:p>
          <w:p w:rsidR="00AB2FAF" w:rsidRDefault="008E7D4C">
            <w:r>
              <w:t>Deux étapes :</w:t>
            </w:r>
          </w:p>
          <w:p w:rsidR="00AB2FAF" w:rsidRDefault="008E7D4C">
            <w:pPr>
              <w:suppressAutoHyphens w:val="0"/>
              <w:spacing w:after="160" w:line="254" w:lineRule="auto"/>
              <w:ind w:left="360"/>
              <w:textAlignment w:val="auto"/>
            </w:pPr>
            <w:r>
              <w:t xml:space="preserve">Clarifier le mode de fonctionnement : </w:t>
            </w:r>
          </w:p>
          <w:p w:rsidR="00AB2FAF" w:rsidRDefault="008E7D4C">
            <w:pPr>
              <w:pStyle w:val="Paragraphedeliste"/>
              <w:numPr>
                <w:ilvl w:val="0"/>
                <w:numId w:val="6"/>
              </w:numPr>
              <w:suppressAutoHyphens w:val="0"/>
              <w:spacing w:after="160" w:line="254" w:lineRule="auto"/>
              <w:textAlignment w:val="auto"/>
            </w:pPr>
            <w:r>
              <w:t>Lister toutes les sollicitations reçues et qui posent questions aux différents interlocuteurs pour produire un tableau listant les cas de figure et les réponses à apporter</w:t>
            </w:r>
          </w:p>
          <w:p w:rsidR="00AB2FAF" w:rsidRDefault="008E7D4C">
            <w:pPr>
              <w:pStyle w:val="Paragraphedeliste"/>
              <w:numPr>
                <w:ilvl w:val="0"/>
                <w:numId w:val="6"/>
              </w:numPr>
              <w:suppressAutoHyphens w:val="0"/>
              <w:spacing w:after="160" w:line="254" w:lineRule="auto"/>
              <w:textAlignment w:val="auto"/>
            </w:pPr>
            <w:r>
              <w:t>Produire un document présentant la chaine de décision au sein du SCD : « qui fait quoi ? ». Tout en affirmant que le chef de pôle reste le premier interlocuteur</w:t>
            </w:r>
          </w:p>
          <w:p w:rsidR="00AB2FAF" w:rsidRDefault="008E7D4C">
            <w:pPr>
              <w:pStyle w:val="Paragraphedeliste"/>
              <w:numPr>
                <w:ilvl w:val="0"/>
                <w:numId w:val="6"/>
              </w:numPr>
              <w:suppressAutoHyphens w:val="0"/>
              <w:spacing w:after="160" w:line="254" w:lineRule="auto"/>
              <w:textAlignment w:val="auto"/>
            </w:pPr>
            <w:r>
              <w:t>Planifier et intensifier les réunions DCO et pôles pour améliorer la circulation d’informations</w:t>
            </w:r>
          </w:p>
          <w:p w:rsidR="00AB2FAF" w:rsidRDefault="008E7D4C" w:rsidP="002E0DF4">
            <w:pPr>
              <w:suppressAutoHyphens w:val="0"/>
              <w:spacing w:after="160" w:line="254" w:lineRule="auto"/>
              <w:ind w:left="84"/>
              <w:textAlignment w:val="auto"/>
            </w:pPr>
            <w:r>
              <w:t>A plus long terme, la reprise de l’organigramme et des fiches de poste pourra être envisagé pour le rendre plus fonctionnel et plus lisible.</w:t>
            </w:r>
          </w:p>
        </w:tc>
      </w:tr>
      <w:tr w:rsidR="00AB2FAF">
        <w:tc>
          <w:tcPr>
            <w:tcW w:w="963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B2FAF" w:rsidRDefault="008E7D4C">
            <w:pPr>
              <w:pStyle w:val="TableContents"/>
              <w:jc w:val="both"/>
            </w:pPr>
            <w:r>
              <w:rPr>
                <w:b/>
                <w:bCs/>
                <w:color w:val="BE480A"/>
              </w:rPr>
              <w:t>Moyens (financiers, humains, calendriers, logistique, etc)</w:t>
            </w:r>
          </w:p>
          <w:p w:rsidR="00AB2FAF" w:rsidRDefault="008E7D4C">
            <w:pPr>
              <w:pStyle w:val="TableContents"/>
              <w:jc w:val="both"/>
            </w:pPr>
            <w:r>
              <w:t xml:space="preserve">Etablir un calendrier annuel des réunions entre département collections et pôles qui permettra à chaque agent de resituer sa place dans l’organigramme. </w:t>
            </w:r>
          </w:p>
          <w:p w:rsidR="00AB2FAF" w:rsidRDefault="008E7D4C">
            <w:pPr>
              <w:pStyle w:val="TableContents"/>
              <w:jc w:val="both"/>
            </w:pPr>
            <w:r>
              <w:t>Production d’un document synthétique présentant l’organigramme et les liens entre départements et pôles</w:t>
            </w:r>
          </w:p>
        </w:tc>
      </w:tr>
      <w:tr w:rsidR="00AB2FAF" w:rsidTr="002E0DF4">
        <w:trPr>
          <w:trHeight w:val="476"/>
        </w:trPr>
        <w:tc>
          <w:tcPr>
            <w:tcW w:w="963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B2FAF" w:rsidRDefault="008E7D4C">
            <w:pPr>
              <w:pStyle w:val="TableContents"/>
              <w:jc w:val="both"/>
              <w:rPr>
                <w:b/>
                <w:bCs/>
                <w:color w:val="BE480A"/>
              </w:rPr>
            </w:pPr>
            <w:r>
              <w:rPr>
                <w:b/>
                <w:bCs/>
                <w:color w:val="BE480A"/>
              </w:rPr>
              <w:t>Liens pour approfondir</w:t>
            </w:r>
          </w:p>
          <w:p w:rsidR="00AB2FAF" w:rsidRDefault="008E7D4C">
            <w:pPr>
              <w:pStyle w:val="TableContents"/>
              <w:jc w:val="both"/>
            </w:pPr>
            <w:r>
              <w:t>Accès à la plateforme Poldoc ADBU</w:t>
            </w:r>
          </w:p>
        </w:tc>
      </w:tr>
    </w:tbl>
    <w:p w:rsidR="00F96DE3" w:rsidRDefault="00F96DE3" w:rsidP="002E0DF4">
      <w:pPr>
        <w:pStyle w:val="Paragraphedeliste"/>
        <w:ind w:left="0"/>
        <w:jc w:val="both"/>
        <w:rPr>
          <w:rFonts w:ascii="Arial" w:hAnsi="Arial" w:cs="Arial"/>
          <w:b/>
          <w:bCs/>
          <w:color w:val="000000"/>
          <w:sz w:val="20"/>
          <w:szCs w:val="20"/>
        </w:rPr>
      </w:pPr>
    </w:p>
    <w:p w:rsidR="00AB2FAF" w:rsidRDefault="002E0DF4" w:rsidP="002E0DF4">
      <w:pPr>
        <w:pStyle w:val="Paragraphedeliste"/>
        <w:ind w:left="0"/>
        <w:jc w:val="both"/>
      </w:pPr>
      <w:r w:rsidRPr="003E5888">
        <w:rPr>
          <w:noProof/>
          <w:lang w:eastAsia="fr-FR" w:bidi="ar-SA"/>
        </w:rPr>
        <w:drawing>
          <wp:inline distT="0" distB="0" distL="0" distR="0" wp14:anchorId="681139B7" wp14:editId="77E01DC9">
            <wp:extent cx="876300" cy="29404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V="1">
                      <a:off x="0" y="0"/>
                      <a:ext cx="961890" cy="322762"/>
                    </a:xfrm>
                    <a:prstGeom prst="rect">
                      <a:avLst/>
                    </a:prstGeom>
                  </pic:spPr>
                </pic:pic>
              </a:graphicData>
            </a:graphic>
          </wp:inline>
        </w:drawing>
      </w:r>
      <w:r>
        <w:rPr>
          <w:rFonts w:ascii="Arial" w:hAnsi="Arial" w:cs="Arial"/>
          <w:b/>
          <w:bCs/>
          <w:color w:val="000000"/>
          <w:sz w:val="20"/>
          <w:szCs w:val="20"/>
        </w:rPr>
        <w:t xml:space="preserve">                                                                                      </w:t>
      </w:r>
      <w:bookmarkStart w:id="0" w:name="_GoBack"/>
      <w:bookmarkEnd w:id="0"/>
      <w:r>
        <w:rPr>
          <w:rFonts w:ascii="Arial" w:hAnsi="Arial" w:cs="Arial"/>
          <w:b/>
          <w:bCs/>
          <w:color w:val="000000"/>
          <w:sz w:val="20"/>
          <w:szCs w:val="20"/>
        </w:rPr>
        <w:t xml:space="preserve">          </w:t>
      </w:r>
      <w:r w:rsidR="008E7D4C">
        <w:rPr>
          <w:rFonts w:ascii="Arial" w:hAnsi="Arial" w:cs="Arial"/>
          <w:b/>
          <w:bCs/>
          <w:color w:val="000000"/>
          <w:sz w:val="20"/>
          <w:szCs w:val="20"/>
        </w:rPr>
        <w:t>16 juin 2025 – Julie Vidal</w:t>
      </w:r>
    </w:p>
    <w:sectPr w:rsidR="00AB2FAF" w:rsidSect="00F96DE3">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D4C" w:rsidRDefault="008E7D4C">
      <w:r>
        <w:separator/>
      </w:r>
    </w:p>
  </w:endnote>
  <w:endnote w:type="continuationSeparator" w:id="0">
    <w:p w:rsidR="008E7D4C" w:rsidRDefault="008E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altName w:val="Arial"/>
    <w:panose1 w:val="020B0604020202020204"/>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D4C" w:rsidRDefault="008E7D4C">
      <w:r>
        <w:rPr>
          <w:color w:val="000000"/>
        </w:rPr>
        <w:separator/>
      </w:r>
    </w:p>
  </w:footnote>
  <w:footnote w:type="continuationSeparator" w:id="0">
    <w:p w:rsidR="008E7D4C" w:rsidRDefault="008E7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F2917"/>
    <w:multiLevelType w:val="multilevel"/>
    <w:tmpl w:val="272294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3985E30"/>
    <w:multiLevelType w:val="multilevel"/>
    <w:tmpl w:val="20C0B3E2"/>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CB5CA7"/>
    <w:multiLevelType w:val="multilevel"/>
    <w:tmpl w:val="8F90EAE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7A2B7B"/>
    <w:multiLevelType w:val="multilevel"/>
    <w:tmpl w:val="9A124EE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311563F"/>
    <w:multiLevelType w:val="multilevel"/>
    <w:tmpl w:val="DB42099A"/>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C205022"/>
    <w:multiLevelType w:val="multilevel"/>
    <w:tmpl w:val="CAFCB58C"/>
    <w:styleLink w:val="Aucuneliste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FAF"/>
    <w:rsid w:val="002E0DF4"/>
    <w:rsid w:val="003E1474"/>
    <w:rsid w:val="00644994"/>
    <w:rsid w:val="008E7D4C"/>
    <w:rsid w:val="00AB2FAF"/>
    <w:rsid w:val="00F96D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DEA9"/>
  <w15:docId w15:val="{CDDAA8DE-D243-4F89-8138-0B022BCD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Unicode MS"/>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xtedebulles">
    <w:name w:val="Balloon Text"/>
    <w:basedOn w:val="Normal"/>
    <w:rPr>
      <w:rFonts w:ascii="Segoe UI" w:eastAsia="Segoe UI" w:hAnsi="Segoe UI" w:cs="Segoe UI"/>
      <w:sz w:val="18"/>
      <w:szCs w:val="18"/>
    </w:rPr>
  </w:style>
  <w:style w:type="paragraph" w:styleId="Objetducommentaire">
    <w:name w:val="annotation subject"/>
    <w:basedOn w:val="Comment"/>
    <w:next w:val="Comment"/>
    <w:rPr>
      <w:b/>
      <w:bCs/>
    </w:rPr>
  </w:style>
  <w:style w:type="paragraph" w:customStyle="1" w:styleId="Comment">
    <w:name w:val="Comment"/>
    <w:basedOn w:val="Normal"/>
    <w:rPr>
      <w:sz w:val="20"/>
      <w:szCs w:val="20"/>
    </w:rPr>
  </w:style>
  <w:style w:type="paragraph" w:styleId="Paragraphedeliste">
    <w:name w:val="List Paragraph"/>
    <w:basedOn w:val="Standard"/>
    <w:pPr>
      <w:ind w:left="720"/>
    </w:pPr>
  </w:style>
  <w:style w:type="paragraph" w:customStyle="1" w:styleId="TableContents">
    <w:name w:val="Table Contents"/>
    <w:basedOn w:val="Standard"/>
    <w:pPr>
      <w:widowControl w:val="0"/>
      <w:suppressLineNumbers/>
    </w:pPr>
  </w:style>
  <w:style w:type="character" w:customStyle="1" w:styleId="TextedebullesCar">
    <w:name w:val="Texte de bulles Car"/>
    <w:basedOn w:val="Policepardfaut"/>
    <w:rPr>
      <w:rFonts w:ascii="Segoe UI" w:eastAsia="Segoe UI" w:hAnsi="Segoe UI" w:cs="Segoe UI"/>
      <w:sz w:val="18"/>
      <w:szCs w:val="18"/>
    </w:rPr>
  </w:style>
  <w:style w:type="character" w:customStyle="1" w:styleId="ObjetducommentaireCar">
    <w:name w:val="Objet du commentaire Car"/>
    <w:basedOn w:val="CommentaireCar"/>
    <w:rPr>
      <w:b/>
      <w:bCs/>
      <w:sz w:val="20"/>
      <w:szCs w:val="20"/>
    </w:rPr>
  </w:style>
  <w:style w:type="character" w:customStyle="1" w:styleId="CommentaireCar">
    <w:name w:val="Commentaire Car"/>
    <w:basedOn w:val="Policepardfaut"/>
    <w:rPr>
      <w:sz w:val="20"/>
      <w:szCs w:val="20"/>
    </w:rPr>
  </w:style>
  <w:style w:type="character" w:styleId="Marquedecommentaire">
    <w:name w:val="annotation reference"/>
    <w:basedOn w:val="Policepardfaut"/>
    <w:rPr>
      <w:sz w:val="16"/>
      <w:szCs w:val="16"/>
    </w:rPr>
  </w:style>
  <w:style w:type="character" w:customStyle="1" w:styleId="ListLabel36">
    <w:name w:val="ListLabel 36"/>
  </w:style>
  <w:style w:type="character" w:customStyle="1" w:styleId="ListLabel35">
    <w:name w:val="ListLabel 35"/>
    <w:rPr>
      <w:rFonts w:cs="Courier New"/>
    </w:rPr>
  </w:style>
  <w:style w:type="character" w:customStyle="1" w:styleId="ListLabel34">
    <w:name w:val="ListLabel 34"/>
  </w:style>
  <w:style w:type="character" w:customStyle="1" w:styleId="ListLabel33">
    <w:name w:val="ListLabel 33"/>
  </w:style>
  <w:style w:type="character" w:customStyle="1" w:styleId="ListLabel32">
    <w:name w:val="ListLabel 32"/>
    <w:rPr>
      <w:rFonts w:cs="Courier New"/>
    </w:rPr>
  </w:style>
  <w:style w:type="character" w:customStyle="1" w:styleId="ListLabel31">
    <w:name w:val="ListLabel 31"/>
  </w:style>
  <w:style w:type="character" w:customStyle="1" w:styleId="ListLabel30">
    <w:name w:val="ListLabel 30"/>
  </w:style>
  <w:style w:type="character" w:customStyle="1" w:styleId="ListLabel29">
    <w:name w:val="ListLabel 29"/>
    <w:rPr>
      <w:rFonts w:cs="Courier New"/>
    </w:rPr>
  </w:style>
  <w:style w:type="character" w:customStyle="1" w:styleId="ListLabel28">
    <w:name w:val="ListLabel 28"/>
  </w:style>
  <w:style w:type="character" w:customStyle="1" w:styleId="ListLabel27">
    <w:name w:val="ListLabel 27"/>
  </w:style>
  <w:style w:type="character" w:customStyle="1" w:styleId="ListLabel26">
    <w:name w:val="ListLabel 26"/>
    <w:rPr>
      <w:rFonts w:cs="Courier New"/>
    </w:rPr>
  </w:style>
  <w:style w:type="character" w:customStyle="1" w:styleId="ListLabel25">
    <w:name w:val="ListLabel 25"/>
  </w:style>
  <w:style w:type="character" w:customStyle="1" w:styleId="ListLabel24">
    <w:name w:val="ListLabel 24"/>
  </w:style>
  <w:style w:type="character" w:customStyle="1" w:styleId="ListLabel23">
    <w:name w:val="ListLabel 23"/>
    <w:rPr>
      <w:rFonts w:cs="Courier New"/>
    </w:rPr>
  </w:style>
  <w:style w:type="character" w:customStyle="1" w:styleId="ListLabel22">
    <w:name w:val="ListLabel 22"/>
  </w:style>
  <w:style w:type="character" w:customStyle="1" w:styleId="ListLabel21">
    <w:name w:val="ListLabel 21"/>
  </w:style>
  <w:style w:type="character" w:customStyle="1" w:styleId="ListLabel20">
    <w:name w:val="ListLabel 20"/>
    <w:rPr>
      <w:rFonts w:cs="Courier New"/>
    </w:rPr>
  </w:style>
  <w:style w:type="character" w:customStyle="1" w:styleId="ListLabel19">
    <w:name w:val="ListLabel 19"/>
  </w:style>
  <w:style w:type="character" w:customStyle="1" w:styleId="ListLabel18">
    <w:name w:val="ListLabel 18"/>
  </w:style>
  <w:style w:type="character" w:customStyle="1" w:styleId="ListLabel17">
    <w:name w:val="ListLabel 17"/>
    <w:rPr>
      <w:rFonts w:cs="Courier New"/>
    </w:rPr>
  </w:style>
  <w:style w:type="character" w:customStyle="1" w:styleId="ListLabel16">
    <w:name w:val="ListLabel 16"/>
  </w:style>
  <w:style w:type="character" w:customStyle="1" w:styleId="ListLabel15">
    <w:name w:val="ListLabel 15"/>
  </w:style>
  <w:style w:type="character" w:customStyle="1" w:styleId="ListLabel14">
    <w:name w:val="ListLabel 14"/>
    <w:rPr>
      <w:rFonts w:cs="Courier New"/>
    </w:rPr>
  </w:style>
  <w:style w:type="character" w:customStyle="1" w:styleId="ListLabel13">
    <w:name w:val="ListLabel 13"/>
  </w:style>
  <w:style w:type="character" w:customStyle="1" w:styleId="ListLabel12">
    <w:name w:val="ListLabel 12"/>
  </w:style>
  <w:style w:type="character" w:customStyle="1" w:styleId="ListLabel11">
    <w:name w:val="ListLabel 11"/>
    <w:rPr>
      <w:rFonts w:cs="Courier New"/>
    </w:rPr>
  </w:style>
  <w:style w:type="character" w:customStyle="1" w:styleId="ListLabel10">
    <w:name w:val="ListLabel 10"/>
  </w:style>
  <w:style w:type="character" w:customStyle="1" w:styleId="ListLabel9">
    <w:name w:val="ListLabel 9"/>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style>
  <w:style w:type="character" w:customStyle="1" w:styleId="ListLabel3">
    <w:name w:val="ListLabel 3"/>
  </w:style>
  <w:style w:type="character" w:customStyle="1" w:styleId="ListLabel2">
    <w:name w:val="ListLabel 2"/>
  </w:style>
  <w:style w:type="character" w:customStyle="1" w:styleId="ListLabel1">
    <w:name w:val="ListLabel 1"/>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421</Words>
  <Characters>2321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julie.vidal@umontpellier.fr</dc:creator>
  <cp:lastModifiedBy>julie.vidal@umontpellier.fr</cp:lastModifiedBy>
  <cp:revision>4</cp:revision>
  <dcterms:created xsi:type="dcterms:W3CDTF">2025-07-10T08:25:00Z</dcterms:created>
  <dcterms:modified xsi:type="dcterms:W3CDTF">2026-01-30T13:18:00Z</dcterms:modified>
</cp:coreProperties>
</file>