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19" w:rsidRDefault="00610D26">
      <w:pPr>
        <w:jc w:val="right"/>
        <w:rPr>
          <w:b/>
          <w:bCs/>
        </w:rPr>
      </w:pPr>
      <w:r w:rsidRPr="003E5888">
        <w:rPr>
          <w:noProof/>
          <w:lang w:eastAsia="fr-FR" w:bidi="ar-SA"/>
        </w:rPr>
        <w:drawing>
          <wp:inline distT="0" distB="0" distL="0" distR="0" wp14:anchorId="3E73FA24" wp14:editId="025003BC">
            <wp:extent cx="961587" cy="63962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1587" cy="639629"/>
                    </a:xfrm>
                    <a:prstGeom prst="rect">
                      <a:avLst/>
                    </a:prstGeom>
                  </pic:spPr>
                </pic:pic>
              </a:graphicData>
            </a:graphic>
          </wp:inline>
        </w:drawing>
      </w:r>
      <w:r>
        <w:rPr>
          <w:b/>
          <w:bCs/>
        </w:rPr>
        <w:t xml:space="preserve">                                                                      Fiche pratique GT poldoc ADBU 1.2</w:t>
      </w:r>
    </w:p>
    <w:p w:rsidR="00CA2419" w:rsidRDefault="001C5BF6">
      <w:pPr>
        <w:pStyle w:val="Standard"/>
        <w:jc w:val="center"/>
        <w:rPr>
          <w:b/>
          <w:bCs/>
        </w:rPr>
      </w:pPr>
      <w:r>
        <w:rPr>
          <w:b/>
          <w:bCs/>
          <w:noProof/>
          <w:lang w:eastAsia="fr-F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189110</wp:posOffset>
                </wp:positionV>
                <wp:extent cx="6116560" cy="259492"/>
                <wp:effectExtent l="0" t="0" r="17780" b="26670"/>
                <wp:wrapNone/>
                <wp:docPr id="1" name="Forme 1"/>
                <wp:cNvGraphicFramePr/>
                <a:graphic xmlns:a="http://schemas.openxmlformats.org/drawingml/2006/main">
                  <a:graphicData uri="http://schemas.microsoft.com/office/word/2010/wordprocessingShape">
                    <wps:wsp>
                      <wps:cNvSpPr/>
                      <wps:spPr bwMode="auto">
                        <a:xfrm>
                          <a:off x="0" y="0"/>
                          <a:ext cx="6116560" cy="25949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extrusionOk="0">
                              <a:moveTo>
                                <a:pt x="f2" y="f2"/>
                              </a:moveTo>
                              <a:lnTo>
                                <a:pt x="f3" y="f2"/>
                              </a:lnTo>
                              <a:lnTo>
                                <a:pt x="f3" y="f3"/>
                              </a:lnTo>
                              <a:lnTo>
                                <a:pt x="f2" y="f3"/>
                              </a:lnTo>
                              <a:lnTo>
                                <a:pt x="f2" y="f2"/>
                              </a:lnTo>
                              <a:close/>
                            </a:path>
                          </a:pathLst>
                        </a:custGeom>
                        <a:solidFill>
                          <a:srgbClr val="FFFFFF"/>
                        </a:solidFill>
                        <a:ln w="0" cap="flat">
                          <a:solidFill>
                            <a:srgbClr val="000000"/>
                          </a:solidFill>
                          <a:prstDash val="solid"/>
                          <a:miter/>
                        </a:ln>
                      </wps:spPr>
                      <wps:txbx>
                        <w:txbxContent>
                          <w:p w:rsidR="00CA2419" w:rsidRDefault="00610D26">
                            <w:pPr>
                              <w:jc w:val="center"/>
                            </w:pPr>
                            <w:bookmarkStart w:id="0" w:name="_GoBack"/>
                            <w:r>
                              <w:rPr>
                                <w:rFonts w:ascii="Arial Black" w:hAnsi="Arial Black"/>
                                <w:b/>
                                <w:bCs/>
                                <w:color w:val="BE480A"/>
                              </w:rPr>
                              <w:t xml:space="preserve">COMMENT ACTUALISER LA POLITIQUE DOCUMENTAIRE ? </w:t>
                            </w:r>
                            <w:bookmarkEnd w:id="0"/>
                          </w:p>
                        </w:txbxContent>
                      </wps:txbx>
                      <wps:bodyPr vert="horz" wrap="square" lIns="722" tIns="722" rIns="722" bIns="722"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id="Forme 1" o:spid="_x0000_s1026" style="position:absolute;left:0;text-align:left;margin-left:430.4pt;margin-top:14.9pt;width:481.6pt;height:20.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" adj="-11796480,,5400" path="m,l21600,r,21600l,21600,,xe" strokeweight="0">
                <v:stroke joinstyle="miter"/>
                <v:formulas/>
                <v:path arrowok="t" o:extrusionok="f" o:connecttype="custom" o:connectlocs="3058280,0;6116560,129746;3058280,259492;0,129746" o:connectangles="270,0,90,180" textboxrect="0,0,21600,21600"/>
                <v:textbox inset=".02006mm,.02006mm,.02006mm,.02006mm">
                  <w:txbxContent>
                    <w:p w:rsidR="00CA2419" w:rsidRDefault="00610D26">
                      <w:pPr>
                        <w:jc w:val="center"/>
                      </w:pPr>
                      <w:bookmarkStart w:id="1" w:name="_GoBack"/>
                      <w:r>
                        <w:rPr>
                          <w:rFonts w:ascii="Arial Black" w:hAnsi="Arial Black"/>
                          <w:b/>
                          <w:bCs/>
                          <w:color w:val="BE480A"/>
                        </w:rPr>
                        <w:t xml:space="preserve">COMMENT ACTUALISER LA POLITIQUE DOCUMENTAIRE ? </w:t>
                      </w:r>
                      <w:bookmarkEnd w:id="1"/>
                    </w:p>
                  </w:txbxContent>
                </v:textbox>
                <w10:wrap anchorx="margin"/>
              </v:shape>
            </w:pict>
          </mc:Fallback>
        </mc:AlternateContent>
      </w:r>
    </w:p>
    <w:p w:rsidR="00CA2419" w:rsidRDefault="00CA2419">
      <w:pPr>
        <w:pStyle w:val="Standard"/>
        <w:jc w:val="center"/>
      </w:pPr>
    </w:p>
    <w:p w:rsidR="00CA2419" w:rsidRDefault="00CA2419">
      <w:pPr>
        <w:jc w:val="both"/>
      </w:pPr>
    </w:p>
    <w:tbl>
      <w:tblPr>
        <w:tblW w:w="9638" w:type="dxa"/>
        <w:tblLayout w:type="fixed"/>
        <w:tblCellMar>
          <w:left w:w="10" w:type="dxa"/>
          <w:right w:w="10" w:type="dxa"/>
        </w:tblCellMar>
        <w:tblLook w:val="04A0" w:firstRow="1" w:lastRow="0" w:firstColumn="1" w:lastColumn="0" w:noHBand="0" w:noVBand="1"/>
      </w:tblPr>
      <w:tblGrid>
        <w:gridCol w:w="9638"/>
      </w:tblGrid>
      <w:tr w:rsidR="00CA2419">
        <w:tc>
          <w:tcPr>
            <w:tcW w:w="963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A2419" w:rsidRDefault="00610D26">
            <w:pPr>
              <w:pStyle w:val="TableContents"/>
              <w:jc w:val="both"/>
              <w:rPr>
                <w:b/>
                <w:bCs/>
                <w:color w:val="BE480A"/>
              </w:rPr>
            </w:pPr>
            <w:r>
              <w:rPr>
                <w:b/>
                <w:bCs/>
                <w:color w:val="BE480A"/>
              </w:rPr>
              <w:t>Problématique</w:t>
            </w:r>
          </w:p>
          <w:p w:rsidR="00CA2419" w:rsidRDefault="00610D26">
            <w:pPr>
              <w:pStyle w:val="TableContents"/>
              <w:jc w:val="both"/>
            </w:pPr>
            <w:r>
              <w:t xml:space="preserve">Les documents et outils de suivi des collections n’ont pas été revus depuis plusieurs années et paraissent inappropriés : il est alors temps de « revoir la politique documentaire ». </w:t>
            </w:r>
          </w:p>
          <w:p w:rsidR="00CA2419" w:rsidRDefault="00610D26">
            <w:pPr>
              <w:pStyle w:val="TableContents"/>
              <w:jc w:val="both"/>
            </w:pPr>
            <w:r>
              <w:t xml:space="preserve">L’actualisation de la politique documentaire comporte un double aspect : </w:t>
            </w:r>
          </w:p>
          <w:p w:rsidR="00CA2419" w:rsidRDefault="00DD7C1F">
            <w:pPr>
              <w:pStyle w:val="TableContents"/>
              <w:numPr>
                <w:ilvl w:val="0"/>
                <w:numId w:val="9"/>
              </w:numPr>
              <w:jc w:val="both"/>
            </w:pPr>
            <w:r>
              <w:rPr>
                <w:u w:val="single"/>
              </w:rPr>
              <w:t>Méthodologique</w:t>
            </w:r>
            <w:r w:rsidR="00610D26">
              <w:t xml:space="preserve"> : quels tableaux et documents de suivi mettre à jour en priorité ? </w:t>
            </w:r>
          </w:p>
          <w:p w:rsidR="00CA2419" w:rsidRDefault="00DD7C1F">
            <w:pPr>
              <w:pStyle w:val="TableContents"/>
              <w:numPr>
                <w:ilvl w:val="0"/>
                <w:numId w:val="9"/>
              </w:numPr>
              <w:jc w:val="both"/>
            </w:pPr>
            <w:r>
              <w:rPr>
                <w:u w:val="single"/>
              </w:rPr>
              <w:t>Managérial</w:t>
            </w:r>
            <w:r w:rsidR="00610D26">
              <w:t> : comment associer les équipes dans la transformation des outils et des documents, et dans la mise à jour de la politique documentaire ?</w:t>
            </w:r>
          </w:p>
          <w:p w:rsidR="00CA2419" w:rsidRDefault="00610D26">
            <w:pPr>
              <w:pStyle w:val="TableContents"/>
              <w:ind w:left="360"/>
              <w:jc w:val="both"/>
            </w:pPr>
            <w:r>
              <w:t xml:space="preserve">  </w:t>
            </w:r>
          </w:p>
        </w:tc>
      </w:tr>
      <w:tr w:rsidR="00CA2419">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A2419" w:rsidRDefault="00610D26">
            <w:pPr>
              <w:pStyle w:val="TableContents"/>
              <w:jc w:val="both"/>
            </w:pPr>
            <w:r>
              <w:rPr>
                <w:b/>
                <w:bCs/>
                <w:color w:val="BE480A"/>
              </w:rPr>
              <w:t>Recommandations</w:t>
            </w:r>
          </w:p>
          <w:p w:rsidR="00CA2419" w:rsidRDefault="00CA2419">
            <w:pPr>
              <w:pStyle w:val="TableContents"/>
              <w:jc w:val="both"/>
            </w:pPr>
          </w:p>
          <w:p w:rsidR="00CA2419" w:rsidRDefault="00610D26">
            <w:pPr>
              <w:pStyle w:val="TableContents"/>
              <w:jc w:val="both"/>
              <w:rPr>
                <w:u w:val="single"/>
              </w:rPr>
            </w:pPr>
            <w:r>
              <w:rPr>
                <w:u w:val="single"/>
              </w:rPr>
              <w:t xml:space="preserve">Partir de l’existant et travailler à partir des outils déjà mis place </w:t>
            </w:r>
          </w:p>
          <w:p w:rsidR="00CA2419" w:rsidRDefault="00610D26">
            <w:pPr>
              <w:pStyle w:val="TableContents"/>
              <w:jc w:val="both"/>
            </w:pPr>
            <w:r>
              <w:t xml:space="preserve">Un travail sur l’analyse de l’existant devra être mené par le manager (phase de diagnostic). En excluant la charte documentaire, deux types de documents ont été recensés : la fiche domaine, préférée au plan de développement des collections (PDC) plus conséquent, et les bilans statistiques annuels des collections. Des documents légers, faciles à modifier et à s’approprier (intérim) sont recommandés.  Enfin, il est nécessaire de mettre à jour les données relevant du contexte académique (filières, nombre d’étudiants, laboratoires et objets de recherche…). </w:t>
            </w:r>
          </w:p>
          <w:p w:rsidR="00CA2419" w:rsidRDefault="00CA2419">
            <w:pPr>
              <w:pStyle w:val="TableContents"/>
              <w:jc w:val="both"/>
            </w:pPr>
          </w:p>
          <w:p w:rsidR="00CA2419" w:rsidRDefault="00610D26">
            <w:pPr>
              <w:pStyle w:val="TableContents"/>
              <w:jc w:val="both"/>
              <w:rPr>
                <w:u w:val="single"/>
              </w:rPr>
            </w:pPr>
            <w:r>
              <w:rPr>
                <w:u w:val="single"/>
              </w:rPr>
              <w:t>Mettre du sens dans le travail, faire participer les équipes</w:t>
            </w:r>
          </w:p>
          <w:p w:rsidR="00CA2419" w:rsidRDefault="00610D26">
            <w:pPr>
              <w:pStyle w:val="TableContents"/>
              <w:jc w:val="both"/>
            </w:pPr>
            <w:r>
              <w:t>Afin d’embarquer les équipes, le manager pourra développer un management participatif en proposant des ateliers collaboratifs pour faire remonter les besoins réels (méthode des tris). La politique documentaire pourra se constituer également par la méthode des petits pas : une expérimentation d’un chantier avec une équipe réduite peut aboutir à la mise en place de critères plus globaux. Enfin, un climat de confiance devra être créé : les tableaux de suivi doivent être pensés comme des guides utiles, et non des outils de contrôle des activités.</w:t>
            </w:r>
          </w:p>
          <w:p w:rsidR="00CA2419" w:rsidRDefault="00CA2419">
            <w:pPr>
              <w:pStyle w:val="TableContents"/>
              <w:jc w:val="both"/>
            </w:pPr>
          </w:p>
          <w:p w:rsidR="00CA2419" w:rsidRDefault="00610D26">
            <w:pPr>
              <w:pStyle w:val="TableContents"/>
              <w:jc w:val="both"/>
              <w:rPr>
                <w:u w:val="single"/>
              </w:rPr>
            </w:pPr>
            <w:r>
              <w:rPr>
                <w:u w:val="single"/>
              </w:rPr>
              <w:t>Fournir un cadre de travail</w:t>
            </w:r>
          </w:p>
          <w:p w:rsidR="00CA2419" w:rsidRDefault="00610D26">
            <w:pPr>
              <w:pStyle w:val="TableContents"/>
              <w:jc w:val="both"/>
            </w:pPr>
            <w:r>
              <w:t xml:space="preserve">Les fiches domaines doivent être conçues comme des cadres collectifs. Des consignes claires doivent être apportées : taille du document, informations requises, fréquence de la relecture et des mises à jour. Le travail doit également être rationnalisé. Par exemple, la collecte des statistiques peut être centralisée à un service ou quelques personnes familières avec les outils. Enfin, afin d’éviter une individualisation des documents, on pourra associer les différentes personnes contribuant à la chaîne du livre : gestionnaires de collection, magasiniers, catalogueurs… </w:t>
            </w:r>
          </w:p>
        </w:tc>
      </w:tr>
      <w:tr w:rsidR="00CA2419">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A2419" w:rsidRDefault="00610D26">
            <w:pPr>
              <w:pStyle w:val="TableContents"/>
              <w:jc w:val="both"/>
              <w:rPr>
                <w:b/>
                <w:bCs/>
                <w:color w:val="BE480A"/>
              </w:rPr>
            </w:pPr>
            <w:r>
              <w:rPr>
                <w:b/>
                <w:bCs/>
                <w:color w:val="BE480A"/>
              </w:rPr>
              <w:t>Moyens (financiers, humains, calendriers, logistique, etc)</w:t>
            </w:r>
          </w:p>
          <w:p w:rsidR="00CA2419" w:rsidRDefault="00CA2419">
            <w:pPr>
              <w:pStyle w:val="TableContents"/>
              <w:jc w:val="both"/>
            </w:pPr>
          </w:p>
          <w:p w:rsidR="00CA2419" w:rsidRDefault="00610D26">
            <w:pPr>
              <w:pStyle w:val="TableContents"/>
              <w:numPr>
                <w:ilvl w:val="0"/>
                <w:numId w:val="9"/>
              </w:numPr>
              <w:jc w:val="both"/>
            </w:pPr>
            <w:r>
              <w:t xml:space="preserve">Constituer une équipe large autour de la politique documentaire (pas seulement les acquéreurs)  </w:t>
            </w:r>
          </w:p>
          <w:p w:rsidR="00CA2419" w:rsidRDefault="00610D26">
            <w:pPr>
              <w:pStyle w:val="TableContents"/>
              <w:numPr>
                <w:ilvl w:val="0"/>
                <w:numId w:val="9"/>
              </w:numPr>
              <w:jc w:val="both"/>
            </w:pPr>
            <w:r>
              <w:t>Etablir des documents légers et faciles à mettre à jour, avec des règles claires de rédaction</w:t>
            </w:r>
          </w:p>
          <w:p w:rsidR="00CA2419" w:rsidRDefault="00610D26">
            <w:pPr>
              <w:pStyle w:val="TableContents"/>
              <w:numPr>
                <w:ilvl w:val="0"/>
                <w:numId w:val="9"/>
              </w:numPr>
              <w:jc w:val="both"/>
            </w:pPr>
            <w:r>
              <w:t>Etablir des bilans statistiques annuels</w:t>
            </w:r>
          </w:p>
          <w:p w:rsidR="00CA2419" w:rsidRDefault="00610D26">
            <w:pPr>
              <w:pStyle w:val="TableContents"/>
              <w:numPr>
                <w:ilvl w:val="0"/>
                <w:numId w:val="9"/>
              </w:numPr>
              <w:jc w:val="both"/>
            </w:pPr>
            <w:r>
              <w:t>S’aider d’outils de datavisualisation pour une meilleure appropriation des données</w:t>
            </w:r>
          </w:p>
          <w:p w:rsidR="00CA2419" w:rsidRDefault="00CA2419">
            <w:pPr>
              <w:pStyle w:val="TableContents"/>
              <w:ind w:left="360"/>
              <w:jc w:val="both"/>
            </w:pPr>
          </w:p>
        </w:tc>
      </w:tr>
      <w:tr w:rsidR="00CA2419">
        <w:trPr>
          <w:trHeight w:val="429"/>
        </w:trPr>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CA2419" w:rsidRDefault="00610D26">
            <w:pPr>
              <w:pStyle w:val="TableContents"/>
              <w:jc w:val="both"/>
              <w:rPr>
                <w:b/>
                <w:bCs/>
                <w:color w:val="BE480A"/>
              </w:rPr>
            </w:pPr>
            <w:r>
              <w:rPr>
                <w:b/>
                <w:bCs/>
                <w:color w:val="BE480A"/>
              </w:rPr>
              <w:t>Liens pour approfondir</w:t>
            </w:r>
          </w:p>
          <w:p w:rsidR="00CA2419" w:rsidRDefault="00610D26">
            <w:pPr>
              <w:pStyle w:val="TableContents"/>
              <w:jc w:val="both"/>
            </w:pPr>
            <w:r>
              <w:t>Accès à la plateforme Poldoc ADBU</w:t>
            </w:r>
          </w:p>
        </w:tc>
      </w:tr>
    </w:tbl>
    <w:p w:rsidR="00610D26" w:rsidRPr="00610D26" w:rsidRDefault="00610D26">
      <w:pPr>
        <w:pStyle w:val="Paragraphedeliste"/>
        <w:jc w:val="right"/>
        <w:rPr>
          <w:rFonts w:ascii="Arial" w:hAnsi="Arial" w:cs="Arial"/>
          <w:b/>
          <w:bCs/>
          <w:color w:val="000000"/>
          <w:sz w:val="10"/>
          <w:szCs w:val="10"/>
        </w:rPr>
      </w:pPr>
    </w:p>
    <w:p w:rsidR="00CA2419" w:rsidRDefault="00610D26" w:rsidP="00DD7C1F">
      <w:pPr>
        <w:pStyle w:val="Paragraphedeliste"/>
        <w:ind w:left="0"/>
        <w:jc w:val="right"/>
      </w:pPr>
      <w:r w:rsidRPr="003E5888">
        <w:rPr>
          <w:noProof/>
          <w:lang w:eastAsia="fr-FR" w:bidi="ar-SA"/>
        </w:rPr>
        <w:drawing>
          <wp:inline distT="0" distB="0" distL="0" distR="0" wp14:anchorId="70C52F76" wp14:editId="57BAB242">
            <wp:extent cx="876300" cy="29404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961890" cy="322762"/>
                    </a:xfrm>
                    <a:prstGeom prst="rect">
                      <a:avLst/>
                    </a:prstGeom>
                  </pic:spPr>
                </pic:pic>
              </a:graphicData>
            </a:graphic>
          </wp:inline>
        </w:drawing>
      </w:r>
      <w:r>
        <w:rPr>
          <w:rFonts w:ascii="Arial" w:hAnsi="Arial" w:cs="Arial"/>
          <w:b/>
          <w:bCs/>
          <w:color w:val="000000"/>
          <w:sz w:val="20"/>
          <w:szCs w:val="20"/>
        </w:rPr>
        <w:t xml:space="preserve">                        </w:t>
      </w:r>
      <w:r w:rsidR="00DD7C1F">
        <w:rPr>
          <w:rFonts w:ascii="Arial" w:hAnsi="Arial" w:cs="Arial"/>
          <w:b/>
          <w:bCs/>
          <w:color w:val="000000"/>
          <w:sz w:val="20"/>
          <w:szCs w:val="20"/>
        </w:rPr>
        <w:t xml:space="preserve">             </w:t>
      </w:r>
      <w:r>
        <w:rPr>
          <w:rFonts w:ascii="Arial" w:hAnsi="Arial" w:cs="Arial"/>
          <w:b/>
          <w:bCs/>
          <w:color w:val="000000"/>
          <w:sz w:val="20"/>
          <w:szCs w:val="20"/>
        </w:rPr>
        <w:t xml:space="preserve">                                                                 8 mars 2025 – Anaïs Scalla</w:t>
      </w:r>
    </w:p>
    <w:sectPr w:rsidR="00CA241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419" w:rsidRDefault="00610D26">
      <w:r>
        <w:separator/>
      </w:r>
    </w:p>
  </w:endnote>
  <w:endnote w:type="continuationSeparator" w:id="0">
    <w:p w:rsidR="00CA2419" w:rsidRDefault="0061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419" w:rsidRDefault="00610D26">
      <w:r>
        <w:rPr>
          <w:color w:val="000000"/>
        </w:rPr>
        <w:separator/>
      </w:r>
    </w:p>
  </w:footnote>
  <w:footnote w:type="continuationSeparator" w:id="0">
    <w:p w:rsidR="00CA2419" w:rsidRDefault="0061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268D"/>
    <w:multiLevelType w:val="multilevel"/>
    <w:tmpl w:val="42E24FA2"/>
    <w:lvl w:ilvl="0">
      <w:numFmt w:val="bullet"/>
      <w:lvlText w:val="-"/>
      <w:lvlJc w:val="left"/>
      <w:pPr>
        <w:ind w:left="720" w:hanging="360"/>
      </w:pPr>
      <w:rPr>
        <w:rFonts w:ascii="Liberation Serif" w:eastAsia="NSimSun" w:hAnsi="Liberation Serif" w:cs="Liberation Seri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527DF9"/>
    <w:multiLevelType w:val="multilevel"/>
    <w:tmpl w:val="0186CC46"/>
    <w:styleLink w:val="Aucuneliste1"/>
    <w:lvl w:ilvl="0">
      <w:start w:val="1"/>
      <w:numFmt w:val="decimal"/>
      <w:pStyle w:val="Aucuneliste1"/>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444156A"/>
    <w:multiLevelType w:val="multilevel"/>
    <w:tmpl w:val="927C2594"/>
    <w:lvl w:ilvl="0">
      <w:start w:val="8"/>
      <w:numFmt w:val="bullet"/>
      <w:lvlText w:val="-"/>
      <w:lvlJc w:val="left"/>
      <w:pPr>
        <w:ind w:left="360" w:hanging="360"/>
      </w:pPr>
      <w:rPr>
        <w:rFonts w:ascii="Liberation Serif" w:eastAsia="NSimSun" w:hAnsi="Liberation Serif" w:cs="Liberation Serif"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8691FB9"/>
    <w:multiLevelType w:val="multilevel"/>
    <w:tmpl w:val="44422534"/>
    <w:lvl w:ilvl="0">
      <w:numFmt w:val="bullet"/>
      <w:lvlText w:val=""/>
      <w:lvlJc w:val="left"/>
      <w:pPr>
        <w:ind w:left="720" w:hanging="360"/>
      </w:pPr>
      <w:rPr>
        <w:rFonts w:ascii="Wingdings" w:eastAsia="NSimSun"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2C646F7"/>
    <w:multiLevelType w:val="multilevel"/>
    <w:tmpl w:val="4A82E08A"/>
    <w:styleLink w:val="WWNum3"/>
    <w:lvl w:ilvl="0">
      <w:numFmt w:val="bullet"/>
      <w:pStyle w:val="WWNum3"/>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267F83"/>
    <w:multiLevelType w:val="multilevel"/>
    <w:tmpl w:val="28664738"/>
    <w:styleLink w:val="WWNum1"/>
    <w:lvl w:ilvl="0">
      <w:start w:val="1"/>
      <w:numFmt w:val="decimal"/>
      <w:pStyle w:val="WWNum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F53AC"/>
    <w:multiLevelType w:val="multilevel"/>
    <w:tmpl w:val="68F2ADDE"/>
    <w:styleLink w:val="WWNum2"/>
    <w:lvl w:ilvl="0">
      <w:numFmt w:val="bullet"/>
      <w:pStyle w:val="WWNum2"/>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A8B1927"/>
    <w:multiLevelType w:val="multilevel"/>
    <w:tmpl w:val="1FE62BFE"/>
    <w:styleLink w:val="WWNum4"/>
    <w:lvl w:ilvl="0">
      <w:numFmt w:val="bullet"/>
      <w:pStyle w:val="WWNum4"/>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CC14982"/>
    <w:multiLevelType w:val="multilevel"/>
    <w:tmpl w:val="667C24F2"/>
    <w:lvl w:ilvl="0">
      <w:numFmt w:val="bullet"/>
      <w:lvlText w:val=""/>
      <w:lvlJc w:val="left"/>
      <w:pPr>
        <w:ind w:left="720" w:hanging="360"/>
      </w:pPr>
      <w:rPr>
        <w:rFonts w:ascii="Wingdings" w:eastAsia="NSimSun"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5"/>
  </w:num>
  <w:num w:numId="3">
    <w:abstractNumId w:val="6"/>
  </w:num>
  <w:num w:numId="4">
    <w:abstractNumId w:val="4"/>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19"/>
    <w:rsid w:val="001C5BF6"/>
    <w:rsid w:val="00610D26"/>
    <w:rsid w:val="00CA2419"/>
    <w:rsid w:val="00DD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07D60-6368-443C-93BA-19E8210F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0F476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0F476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0F476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0F476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0F4761" w:themeColor="accent1" w:themeShade="BF"/>
    </w:rPr>
  </w:style>
  <w:style w:type="character" w:customStyle="1" w:styleId="Titre5Car">
    <w:name w:val="Titre 5 Car"/>
    <w:basedOn w:val="Policepardfaut"/>
    <w:link w:val="Titre5"/>
    <w:uiPriority w:val="9"/>
    <w:rPr>
      <w:rFonts w:ascii="Arial" w:eastAsia="Arial" w:hAnsi="Arial" w:cs="Arial"/>
      <w:color w:val="0F476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rPr>
      <w:rFonts w:ascii="Segoe UI" w:eastAsia="Segoe UI" w:hAnsi="Segoe UI" w:cs="Segoe UI"/>
      <w:sz w:val="18"/>
      <w:szCs w:val="18"/>
    </w:rPr>
  </w:style>
  <w:style w:type="paragraph" w:styleId="Objetducommentaire">
    <w:name w:val="annotation subject"/>
    <w:basedOn w:val="Comment"/>
    <w:next w:val="Comment"/>
    <w:rPr>
      <w:b/>
      <w:bCs/>
    </w:rPr>
  </w:style>
  <w:style w:type="paragraph" w:customStyle="1" w:styleId="Comment">
    <w:name w:val="Comment"/>
    <w:basedOn w:val="Normal"/>
    <w:rPr>
      <w:sz w:val="20"/>
      <w:szCs w:val="20"/>
    </w:rPr>
  </w:style>
  <w:style w:type="paragraph" w:styleId="Paragraphedeliste">
    <w:name w:val="List Paragraph"/>
    <w:basedOn w:val="Standard"/>
    <w:pPr>
      <w:ind w:left="720"/>
    </w:pPr>
  </w:style>
  <w:style w:type="paragraph" w:customStyle="1" w:styleId="TableContents">
    <w:name w:val="Table Contents"/>
    <w:basedOn w:val="Standard"/>
    <w:pPr>
      <w:widowControl w:val="0"/>
      <w:suppressLineNumbers/>
    </w:p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ObjetducommentaireCar">
    <w:name w:val="Objet du commentaire Car"/>
    <w:basedOn w:val="CommentaireCar"/>
    <w:rPr>
      <w:b/>
      <w:bCs/>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character" w:customStyle="1" w:styleId="ListLabel36">
    <w:name w:val="ListLabel 36"/>
  </w:style>
  <w:style w:type="character" w:customStyle="1" w:styleId="ListLabel35">
    <w:name w:val="ListLabel 35"/>
    <w:rPr>
      <w:rFonts w:cs="Courier New"/>
    </w:rPr>
  </w:style>
  <w:style w:type="character" w:customStyle="1" w:styleId="ListLabel34">
    <w:name w:val="ListLabel 34"/>
  </w:style>
  <w:style w:type="character" w:customStyle="1" w:styleId="ListLabel33">
    <w:name w:val="ListLabel 33"/>
  </w:style>
  <w:style w:type="character" w:customStyle="1" w:styleId="ListLabel32">
    <w:name w:val="ListLabel 32"/>
    <w:rPr>
      <w:rFonts w:cs="Courier New"/>
    </w:rPr>
  </w:style>
  <w:style w:type="character" w:customStyle="1" w:styleId="ListLabel31">
    <w:name w:val="ListLabel 31"/>
  </w:style>
  <w:style w:type="character" w:customStyle="1" w:styleId="ListLabel30">
    <w:name w:val="ListLabel 30"/>
  </w:style>
  <w:style w:type="character" w:customStyle="1" w:styleId="ListLabel29">
    <w:name w:val="ListLabel 29"/>
    <w:rPr>
      <w:rFonts w:cs="Courier New"/>
    </w:rPr>
  </w:style>
  <w:style w:type="character" w:customStyle="1" w:styleId="ListLabel28">
    <w:name w:val="ListLabel 28"/>
  </w:style>
  <w:style w:type="character" w:customStyle="1" w:styleId="ListLabel27">
    <w:name w:val="ListLabel 27"/>
  </w:style>
  <w:style w:type="character" w:customStyle="1" w:styleId="ListLabel26">
    <w:name w:val="ListLabel 26"/>
    <w:rPr>
      <w:rFonts w:cs="Courier New"/>
    </w:rPr>
  </w:style>
  <w:style w:type="character" w:customStyle="1" w:styleId="ListLabel25">
    <w:name w:val="ListLabel 25"/>
  </w:style>
  <w:style w:type="character" w:customStyle="1" w:styleId="ListLabel24">
    <w:name w:val="ListLabel 24"/>
  </w:style>
  <w:style w:type="character" w:customStyle="1" w:styleId="ListLabel23">
    <w:name w:val="ListLabel 23"/>
    <w:rPr>
      <w:rFonts w:cs="Courier New"/>
    </w:rPr>
  </w:style>
  <w:style w:type="character" w:customStyle="1" w:styleId="ListLabel22">
    <w:name w:val="ListLabel 22"/>
  </w:style>
  <w:style w:type="character" w:customStyle="1" w:styleId="ListLabel21">
    <w:name w:val="ListLabel 21"/>
  </w:style>
  <w:style w:type="character" w:customStyle="1" w:styleId="ListLabel20">
    <w:name w:val="ListLabel 20"/>
    <w:rPr>
      <w:rFonts w:cs="Courier New"/>
    </w:rPr>
  </w:style>
  <w:style w:type="character" w:customStyle="1" w:styleId="ListLabel19">
    <w:name w:val="ListLabel 19"/>
  </w:style>
  <w:style w:type="character" w:customStyle="1" w:styleId="ListLabel18">
    <w:name w:val="ListLabel 18"/>
  </w:style>
  <w:style w:type="character" w:customStyle="1" w:styleId="ListLabel17">
    <w:name w:val="ListLabel 17"/>
    <w:rPr>
      <w:rFonts w:cs="Courier New"/>
    </w:rPr>
  </w:style>
  <w:style w:type="character" w:customStyle="1" w:styleId="ListLabel16">
    <w:name w:val="ListLabel 16"/>
  </w:style>
  <w:style w:type="character" w:customStyle="1" w:styleId="ListLabel15">
    <w:name w:val="ListLabel 15"/>
  </w:style>
  <w:style w:type="character" w:customStyle="1" w:styleId="ListLabel14">
    <w:name w:val="ListLabel 14"/>
    <w:rPr>
      <w:rFonts w:cs="Courier New"/>
    </w:rPr>
  </w:style>
  <w:style w:type="character" w:customStyle="1" w:styleId="ListLabel13">
    <w:name w:val="ListLabel 13"/>
  </w:style>
  <w:style w:type="character" w:customStyle="1" w:styleId="ListLabel12">
    <w:name w:val="ListLabel 12"/>
  </w:style>
  <w:style w:type="character" w:customStyle="1" w:styleId="ListLabel11">
    <w:name w:val="ListLabel 11"/>
    <w:rPr>
      <w:rFonts w:cs="Courier New"/>
    </w:rPr>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2575</Characters>
  <Application>Microsoft Office Word</Application>
  <DocSecurity>0</DocSecurity>
  <Lines>21</Lines>
  <Paragraphs>6</Paragraphs>
  <ScaleCrop>false</ScaleCrop>
  <Company>Universite Paris 1 Pantheon Sorbonne</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Scalla</dc:creator>
  <cp:lastModifiedBy>julie.vidal@umontpellier.fr</cp:lastModifiedBy>
  <cp:revision>144</cp:revision>
  <dcterms:created xsi:type="dcterms:W3CDTF">2025-03-08T14:34:00Z</dcterms:created>
  <dcterms:modified xsi:type="dcterms:W3CDTF">2026-01-30T13:13:00Z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2025-03-08T14:36:35Z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3d426fbb-3897-4f8b-89b0-ff3bfd539e0e</vt:lpwstr>
  </property>
  <property fmtid="{D5CDD505-2E9C-101B-9397-08002B2CF9AE}" pid="8" name="MSIP_Label_d5c20be7-c3a5-46e3-9158-fa8a02ce2395_ContentBits">
    <vt:lpwstr>0</vt:lpwstr>
  </property>
</Properties>
</file>