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6B" w:rsidRDefault="004E0A7D">
      <w:pPr>
        <w:jc w:val="right"/>
        <w:rPr>
          <w:b/>
          <w:bCs/>
        </w:rPr>
      </w:pPr>
      <w:r>
        <w:rPr>
          <w:noProof/>
          <w:lang w:eastAsia="fr-FR" w:bidi="ar-SA"/>
        </w:rPr>
        <w:t xml:space="preserve"> </w:t>
      </w:r>
      <w:r w:rsidR="00234DA8" w:rsidRPr="003E5888">
        <w:rPr>
          <w:noProof/>
          <w:lang w:eastAsia="fr-FR" w:bidi="ar-SA"/>
        </w:rPr>
        <w:drawing>
          <wp:inline distT="0" distB="0" distL="0" distR="0" wp14:anchorId="1DEC7A0A" wp14:editId="1412A57B">
            <wp:extent cx="961587" cy="63962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587" cy="63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DA8">
        <w:rPr>
          <w:b/>
          <w:bCs/>
        </w:rPr>
        <w:t xml:space="preserve">                                      </w:t>
      </w:r>
      <w:r w:rsidR="00E12799">
        <w:rPr>
          <w:b/>
          <w:bCs/>
        </w:rPr>
        <w:t xml:space="preserve">             </w:t>
      </w:r>
      <w:r w:rsidR="00234DA8">
        <w:rPr>
          <w:b/>
          <w:bCs/>
        </w:rPr>
        <w:t xml:space="preserve">                                         </w:t>
      </w:r>
      <w:r w:rsidR="00E1224B">
        <w:rPr>
          <w:b/>
          <w:bCs/>
        </w:rPr>
        <w:t xml:space="preserve">Fiche pratique GT </w:t>
      </w:r>
      <w:proofErr w:type="spellStart"/>
      <w:r w:rsidR="00E1224B">
        <w:rPr>
          <w:b/>
          <w:bCs/>
        </w:rPr>
        <w:t>poldoc</w:t>
      </w:r>
      <w:proofErr w:type="spellEnd"/>
      <w:r w:rsidR="00E1224B">
        <w:rPr>
          <w:b/>
          <w:bCs/>
        </w:rPr>
        <w:t xml:space="preserve"> ADBU</w:t>
      </w:r>
    </w:p>
    <w:p w:rsidR="00B3206B" w:rsidRDefault="00E1224B">
      <w:pPr>
        <w:jc w:val="center"/>
        <w:rPr>
          <w:b/>
          <w:bCs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180151</wp:posOffset>
                </wp:positionV>
                <wp:extent cx="6630430" cy="459740"/>
                <wp:effectExtent l="0" t="0" r="18415" b="16510"/>
                <wp:wrapNone/>
                <wp:docPr id="1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430" cy="459740"/>
                        </a:xfrm>
                        <a:custGeom>
                          <a:avLst/>
                          <a:gdLst>
                            <a:gd name="textAreaLeft" fmla="*/ 0 w 3454200"/>
                            <a:gd name="textAreaRight" fmla="*/ 3454560 w 3454200"/>
                            <a:gd name="textAreaTop" fmla="*/ 0 h 260640"/>
                            <a:gd name="textAreaBottom" fmla="*/ 261000 h 260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206B" w:rsidRDefault="00E1224B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>FORMALISER ET EVALUER LA POLITIQUE DOCUMENTAIRE MISE EN OEUVRE</w:t>
                            </w:r>
                          </w:p>
                        </w:txbxContent>
                      </wps:txbx>
                      <wps:bodyPr wrap="square" lIns="720" tIns="720" rIns="720" bIns="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orme 1" o:spid="_x0000_s1026" style="position:absolute;left:0;text-align:left;margin-left:470.9pt;margin-top:14.2pt;width:522.1pt;height:36.2pt;z-index: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" o:allowincell="f" adj="-11796480,,5400" path="m,l21600,r,21600l,21600,,xe" strokeweight="0">
                <v:stroke joinstyle="miter"/>
                <v:formulas/>
                <v:path arrowok="t" o:connecttype="custom" textboxrect="0,0,21602,21630"/>
                <v:textbox inset=".02mm,.02mm,.02mm,.02mm">
                  <w:txbxContent>
                    <w:p w:rsidR="00B3206B" w:rsidRDefault="00E1224B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>FORMALISER ET EVALUER LA POLITIQUE DOCUMENTAIRE MISE EN OEUVRE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206B" w:rsidRDefault="00B3206B">
      <w:pPr>
        <w:jc w:val="center"/>
        <w:rPr>
          <w:b/>
          <w:bCs/>
          <w:lang w:eastAsia="fr-FR" w:bidi="ar-SA"/>
        </w:rPr>
      </w:pPr>
    </w:p>
    <w:p w:rsidR="00B3206B" w:rsidRDefault="00B3206B"/>
    <w:p w:rsidR="00B3206B" w:rsidRDefault="00B3206B">
      <w:pPr>
        <w:pStyle w:val="Paragraphedeliste"/>
        <w:jc w:val="both"/>
      </w:pPr>
    </w:p>
    <w:tbl>
      <w:tblPr>
        <w:tblW w:w="1055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50"/>
      </w:tblGrid>
      <w:tr w:rsidR="00B3206B" w:rsidTr="00234DA8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6B" w:rsidRDefault="00E1224B">
            <w:pPr>
              <w:pStyle w:val="Contenudetableau"/>
              <w:jc w:val="both"/>
            </w:pPr>
            <w:r>
              <w:rPr>
                <w:b/>
                <w:bCs/>
                <w:color w:val="BE480A"/>
              </w:rPr>
              <w:t>Problématique :</w:t>
            </w:r>
          </w:p>
          <w:p w:rsidR="00B3206B" w:rsidRDefault="00E1224B">
            <w:pPr>
              <w:pStyle w:val="Contenudetableau"/>
              <w:jc w:val="both"/>
            </w:pPr>
            <w:r>
              <w:rPr>
                <w:rStyle w:val="lev"/>
                <w:color w:val="000000"/>
              </w:rPr>
              <w:t>Comment garantir l’application effective de la politique documentaire du service ?</w:t>
            </w:r>
            <w:r>
              <w:rPr>
                <w:color w:val="000000"/>
              </w:rPr>
              <w:br/>
              <w:t xml:space="preserve">Les outils et tableaux de bord dédiés ne doivent pas se limiter à des documents formels, mais constituer de véritables instruments de gestion des fonds documentaires. Comment évaluer concrètement leur mise en œuvre par les </w:t>
            </w:r>
            <w:proofErr w:type="spellStart"/>
            <w:r>
              <w:rPr>
                <w:color w:val="000000"/>
              </w:rPr>
              <w:t>chargé·es</w:t>
            </w:r>
            <w:proofErr w:type="spellEnd"/>
            <w:r>
              <w:rPr>
                <w:color w:val="000000"/>
              </w:rPr>
              <w:t xml:space="preserve"> de collections ? </w:t>
            </w:r>
          </w:p>
        </w:tc>
      </w:tr>
      <w:tr w:rsidR="00B3206B" w:rsidTr="00234DA8">
        <w:trPr>
          <w:trHeight w:val="7713"/>
        </w:trPr>
        <w:tc>
          <w:tcPr>
            <w:tcW w:w="10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6B" w:rsidRDefault="00E1224B">
            <w:pPr>
              <w:pStyle w:val="Contenudetableau"/>
              <w:jc w:val="both"/>
            </w:pPr>
            <w:r>
              <w:rPr>
                <w:b/>
                <w:bCs/>
                <w:color w:val="BE480A"/>
              </w:rPr>
              <w:t>Recommandations</w:t>
            </w:r>
          </w:p>
          <w:p w:rsidR="00B3206B" w:rsidRDefault="00E1224B">
            <w:pPr>
              <w:pStyle w:val="Contenudetableau"/>
              <w:jc w:val="both"/>
              <w:rPr>
                <w:rFonts w:eastAsia="Times New Roman" w:cs="Times New Roman"/>
                <w:u w:val="single"/>
                <w:lang w:eastAsia="fr-FR"/>
              </w:rPr>
            </w:pPr>
            <w:r>
              <w:rPr>
                <w:rFonts w:eastAsia="Times New Roman" w:cs="Times New Roman"/>
                <w:u w:val="single"/>
                <w:lang w:eastAsia="fr-FR"/>
              </w:rPr>
              <w:t xml:space="preserve">Identifier les documents à disposition : </w:t>
            </w:r>
          </w:p>
          <w:p w:rsidR="00B3206B" w:rsidRDefault="00E1224B">
            <w:pPr>
              <w:pStyle w:val="Contenudetableau"/>
              <w:jc w:val="both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Les plans de développement des collections doivent préciser tout ce qui est du ressort d’une thématique spécifique : le domaine, le public, l’environnement, les indicateurs, la description des fonds. Tout ce qui est plus global ou qui est commun à plusieurs ensembles de collection, comme la politique d’exemplaires, les dons, le désherbage, sera formalisé dans un ou plusieurs documents.</w:t>
            </w:r>
          </w:p>
          <w:p w:rsidR="00B3206B" w:rsidRDefault="00E1224B">
            <w:pPr>
              <w:pStyle w:val="Contenudetableau"/>
              <w:jc w:val="both"/>
            </w:pPr>
            <w:r>
              <w:t>Ces documents doivent être régulièrement mis à jour et partagés dans un espace de stockage commun</w:t>
            </w:r>
            <w:r>
              <w:rPr>
                <w:color w:val="000000"/>
              </w:rPr>
              <w:t>.</w:t>
            </w:r>
          </w:p>
          <w:p w:rsidR="00B3206B" w:rsidRDefault="00E1224B">
            <w:pPr>
              <w:pStyle w:val="Contenudetableau"/>
              <w:spacing w:before="57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Le rôle de </w:t>
            </w:r>
            <w:proofErr w:type="spellStart"/>
            <w:r>
              <w:rPr>
                <w:color w:val="000000"/>
                <w:u w:val="single"/>
              </w:rPr>
              <w:t>chargé·e</w:t>
            </w:r>
            <w:proofErr w:type="spellEnd"/>
            <w:r>
              <w:rPr>
                <w:color w:val="000000"/>
                <w:u w:val="single"/>
              </w:rPr>
              <w:t xml:space="preserve"> de collection :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>- Assurer le développement d’une partie des collections ;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Rédiger, mettre à jour et mettre en œuvre le contenu des documents de politique documentaire correspondant tous supports confondus (plans de classement, fiches domaines, plans de développement des collections, etc.). </w:t>
            </w:r>
          </w:p>
          <w:p w:rsidR="00B3206B" w:rsidRDefault="00E1224B">
            <w:pPr>
              <w:pStyle w:val="Contenudetableau"/>
              <w:spacing w:before="57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Le rôle de responsable de la politique documentaire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Prendre en charge les documents de </w:t>
            </w:r>
            <w:proofErr w:type="spellStart"/>
            <w:r>
              <w:rPr>
                <w:color w:val="000000"/>
              </w:rPr>
              <w:t>poldoc</w:t>
            </w:r>
            <w:proofErr w:type="spellEnd"/>
            <w:r>
              <w:rPr>
                <w:color w:val="000000"/>
              </w:rPr>
              <w:t xml:space="preserve"> transversaux et animer le réseau des </w:t>
            </w:r>
            <w:proofErr w:type="spellStart"/>
            <w:r>
              <w:rPr>
                <w:color w:val="000000"/>
              </w:rPr>
              <w:t>chargé·es</w:t>
            </w:r>
            <w:proofErr w:type="spellEnd"/>
            <w:r>
              <w:rPr>
                <w:color w:val="000000"/>
              </w:rPr>
              <w:t xml:space="preserve"> de collections ;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Impliquer les parties prenantes de la </w:t>
            </w:r>
            <w:proofErr w:type="spellStart"/>
            <w:r>
              <w:rPr>
                <w:color w:val="000000"/>
              </w:rPr>
              <w:t>poldoc</w:t>
            </w:r>
            <w:proofErr w:type="spellEnd"/>
            <w:r>
              <w:rPr>
                <w:color w:val="000000"/>
              </w:rPr>
              <w:t xml:space="preserve"> dans la création des outils d’évaluation et de mise en œuvre de la </w:t>
            </w:r>
            <w:proofErr w:type="spellStart"/>
            <w:r>
              <w:rPr>
                <w:color w:val="000000"/>
              </w:rPr>
              <w:t>poldoc</w:t>
            </w:r>
            <w:proofErr w:type="spellEnd"/>
            <w:r>
              <w:rPr>
                <w:color w:val="000000"/>
              </w:rPr>
              <w:t> ;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>- Impulser une dynamique en proposant en début d’année un bilan de l’année écoulée et un plan d’action pour l’année à venir ;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>- Prévoir des moments d’échanges collectifs et/ou individuels réguliers autour des indicateurs pour travailler à leur prise en main et à leur prise en compte dans le développement des collections ;</w:t>
            </w:r>
          </w:p>
          <w:p w:rsidR="00B3206B" w:rsidRDefault="00E1224B">
            <w:pPr>
              <w:pStyle w:val="Contenudetableau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Veiller à la formation continue des chargées de collections. Ces temps d’échange ne sont pas des formations à proprement parler. </w:t>
            </w:r>
          </w:p>
          <w:p w:rsidR="00B3206B" w:rsidRDefault="00E1224B">
            <w:pPr>
              <w:pStyle w:val="Contenudetableau"/>
              <w:spacing w:before="5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Identifier les outils de suivi de la politique documentaire mis en place : </w:t>
            </w:r>
          </w:p>
          <w:p w:rsidR="00B3206B" w:rsidRDefault="00E1224B">
            <w:pPr>
              <w:pStyle w:val="Contenudetableau"/>
              <w:jc w:val="both"/>
            </w:pPr>
            <w:r>
              <w:t>- Mettre en place un tableau de bord de suivi des collections, mis à jour automatiquement.</w:t>
            </w:r>
          </w:p>
          <w:p w:rsidR="00B3206B" w:rsidRDefault="00E1224B">
            <w:pPr>
              <w:pStyle w:val="Contenudetableau"/>
              <w:jc w:val="both"/>
            </w:pPr>
            <w:r>
              <w:t>- Mettre en place des objectifs précis à chaque chargé de collections en lien avec le plan d’action pour l’année à venir. Les budgets ou des reliquats budgétaires pourraient être assujettis au nombre de prêt où au taux de rotation.</w:t>
            </w:r>
          </w:p>
          <w:p w:rsidR="00B3206B" w:rsidRDefault="00E1224B">
            <w:pPr>
              <w:pStyle w:val="Contenudetableau"/>
              <w:jc w:val="both"/>
            </w:pPr>
            <w:r>
              <w:t>L’efficacité des outils de suivi sera réévaluée chaque année</w:t>
            </w:r>
          </w:p>
        </w:tc>
      </w:tr>
      <w:tr w:rsidR="00B3206B" w:rsidTr="00234DA8">
        <w:tc>
          <w:tcPr>
            <w:tcW w:w="10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6B" w:rsidRDefault="00E1224B">
            <w:pPr>
              <w:pStyle w:val="Contenudetableau"/>
              <w:jc w:val="both"/>
            </w:pPr>
            <w:r>
              <w:rPr>
                <w:b/>
                <w:bCs/>
                <w:color w:val="BE480A"/>
              </w:rPr>
              <w:t>Moyens </w:t>
            </w:r>
          </w:p>
          <w:p w:rsidR="00B3206B" w:rsidRDefault="00E1224B">
            <w:pPr>
              <w:pStyle w:val="Contenudetableau"/>
              <w:jc w:val="both"/>
            </w:pPr>
            <w:r>
              <w:t>Un espace de stockage commun contenant :</w:t>
            </w:r>
          </w:p>
          <w:p w:rsidR="00B3206B" w:rsidRDefault="00E1224B">
            <w:pPr>
              <w:pStyle w:val="Contenudetableau"/>
              <w:numPr>
                <w:ilvl w:val="0"/>
                <w:numId w:val="1"/>
              </w:numPr>
              <w:jc w:val="both"/>
            </w:pPr>
            <w:r>
              <w:t>Documents de politique documentaire formalisé</w:t>
            </w:r>
          </w:p>
          <w:p w:rsidR="00B3206B" w:rsidRDefault="00E1224B">
            <w:pPr>
              <w:pStyle w:val="Contenudetableau"/>
              <w:numPr>
                <w:ilvl w:val="0"/>
                <w:numId w:val="1"/>
              </w:numPr>
              <w:jc w:val="both"/>
            </w:pPr>
            <w:r>
              <w:t>Un modèle de plan de classement</w:t>
            </w:r>
          </w:p>
          <w:p w:rsidR="00B3206B" w:rsidRDefault="00E1224B">
            <w:pPr>
              <w:pStyle w:val="Contenudetableau"/>
              <w:numPr>
                <w:ilvl w:val="0"/>
                <w:numId w:val="1"/>
              </w:numPr>
              <w:jc w:val="both"/>
            </w:pPr>
            <w:r>
              <w:t>Un modèle de fiche domaine / plan de développement des collections</w:t>
            </w:r>
          </w:p>
          <w:p w:rsidR="00B3206B" w:rsidRDefault="00E1224B">
            <w:pPr>
              <w:pStyle w:val="Contenudetableau"/>
              <w:numPr>
                <w:ilvl w:val="0"/>
                <w:numId w:val="1"/>
              </w:numPr>
              <w:jc w:val="both"/>
            </w:pPr>
            <w:r>
              <w:t>Des outils de suivi identifiés et applicables facilement</w:t>
            </w:r>
          </w:p>
        </w:tc>
      </w:tr>
      <w:tr w:rsidR="00B3206B" w:rsidTr="00234DA8">
        <w:trPr>
          <w:trHeight w:val="429"/>
        </w:trPr>
        <w:tc>
          <w:tcPr>
            <w:tcW w:w="10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6B" w:rsidRDefault="00E1224B">
            <w:pPr>
              <w:pStyle w:val="Contenudetableau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Liens pour approfondir</w:t>
            </w:r>
          </w:p>
          <w:p w:rsidR="00B3206B" w:rsidRDefault="00E1224B">
            <w:pPr>
              <w:pStyle w:val="Contenudetableau"/>
              <w:jc w:val="both"/>
            </w:pPr>
            <w:r>
              <w:t xml:space="preserve">Accès à la plateforme </w:t>
            </w:r>
            <w:proofErr w:type="spellStart"/>
            <w:r>
              <w:t>Poldoc</w:t>
            </w:r>
            <w:proofErr w:type="spellEnd"/>
            <w:r>
              <w:t xml:space="preserve"> ADBU</w:t>
            </w:r>
          </w:p>
        </w:tc>
      </w:tr>
    </w:tbl>
    <w:p w:rsidR="00234DA8" w:rsidRDefault="00234DA8">
      <w:pPr>
        <w:pStyle w:val="Paragraphedeliste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206B" w:rsidRDefault="00234DA8" w:rsidP="00E12799">
      <w:pPr>
        <w:pStyle w:val="Paragraphedeliste"/>
        <w:ind w:left="0"/>
        <w:jc w:val="right"/>
      </w:pPr>
      <w:r w:rsidRPr="003E5888">
        <w:rPr>
          <w:noProof/>
          <w:lang w:eastAsia="fr-FR" w:bidi="ar-SA"/>
        </w:rPr>
        <w:drawing>
          <wp:inline distT="0" distB="0" distL="0" distR="0" wp14:anchorId="7CEDDFD2" wp14:editId="4CB07FFD">
            <wp:extent cx="876300" cy="29404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1890" cy="32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  <w:r w:rsidR="00E12799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 w:rsidR="00E1224B">
        <w:rPr>
          <w:rFonts w:ascii="Arial" w:hAnsi="Arial" w:cs="Arial"/>
          <w:b/>
          <w:bCs/>
          <w:color w:val="000000"/>
          <w:sz w:val="20"/>
          <w:szCs w:val="20"/>
        </w:rPr>
        <w:t xml:space="preserve">31 janvier 2025 – Julie Vidal </w:t>
      </w:r>
    </w:p>
    <w:sectPr w:rsidR="00B3206B" w:rsidSect="00234DA8"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88" w:rsidRDefault="003E5888" w:rsidP="003E5888">
      <w:r>
        <w:separator/>
      </w:r>
    </w:p>
  </w:endnote>
  <w:endnote w:type="continuationSeparator" w:id="0">
    <w:p w:rsidR="003E5888" w:rsidRDefault="003E5888" w:rsidP="003E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88" w:rsidRDefault="003E5888">
    <w:pPr>
      <w:pStyle w:val="Pieddepage"/>
    </w:pPr>
  </w:p>
  <w:p w:rsidR="003E5888" w:rsidRDefault="003E5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88" w:rsidRDefault="003E5888" w:rsidP="003E5888">
      <w:r>
        <w:separator/>
      </w:r>
    </w:p>
  </w:footnote>
  <w:footnote w:type="continuationSeparator" w:id="0">
    <w:p w:rsidR="003E5888" w:rsidRDefault="003E5888" w:rsidP="003E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336A"/>
    <w:multiLevelType w:val="multilevel"/>
    <w:tmpl w:val="5F0828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F1D16"/>
    <w:multiLevelType w:val="multilevel"/>
    <w:tmpl w:val="051C40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B"/>
    <w:rsid w:val="00234DA8"/>
    <w:rsid w:val="003A1B76"/>
    <w:rsid w:val="003E5888"/>
    <w:rsid w:val="004E0A7D"/>
    <w:rsid w:val="00B3206B"/>
    <w:rsid w:val="00E1224B"/>
    <w:rsid w:val="00E12799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1B87A2"/>
  <w15:docId w15:val="{823C083B-0917-459B-BB69-D7E0B712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Segoe UI" w:eastAsia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Liberation Serif" w:eastAsia="NSimSun" w:hAnsi="Liberation Serif" w:cs="Liberation Serif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styleId="lev">
    <w:name w:val="Strong"/>
    <w:qFormat/>
    <w:rPr>
      <w:b/>
      <w:bCs/>
    </w:rPr>
  </w:style>
  <w:style w:type="paragraph" w:customStyle="1" w:styleId="Normal1">
    <w:name w:val="Normal1"/>
    <w:qFormat/>
    <w:pPr>
      <w:suppressAutoHyphen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Normal1"/>
    <w:qFormat/>
    <w:rPr>
      <w:rFonts w:ascii="Segoe UI" w:eastAsia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Normal1"/>
    <w:qFormat/>
    <w:rPr>
      <w:sz w:val="20"/>
      <w:szCs w:val="20"/>
    </w:rPr>
  </w:style>
  <w:style w:type="paragraph" w:styleId="Paragraphedeliste">
    <w:name w:val="List Paragraph"/>
    <w:basedOn w:val="Normal"/>
    <w:qFormat/>
    <w:pPr>
      <w:ind w:left="720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paragraph" w:styleId="En-tte">
    <w:name w:val="header"/>
    <w:basedOn w:val="Normal"/>
    <w:link w:val="En-tteCar"/>
    <w:uiPriority w:val="99"/>
    <w:unhideWhenUsed/>
    <w:rsid w:val="003E58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E5888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3E58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E588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julie.vidal@umontpellier.fr</dc:creator>
  <dc:description/>
  <cp:lastModifiedBy>julie.vidal@umontpellier.fr</cp:lastModifiedBy>
  <cp:revision>3</cp:revision>
  <dcterms:created xsi:type="dcterms:W3CDTF">2026-01-30T12:02:00Z</dcterms:created>
  <dcterms:modified xsi:type="dcterms:W3CDTF">2026-01-30T13:13:00Z</dcterms:modified>
  <dc:language>fr-FR</dc:language>
</cp:coreProperties>
</file>