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0E401" w14:textId="67BE6687" w:rsidR="00AD3D94" w:rsidRDefault="00AD3D94" w:rsidP="0061073F">
      <w:pPr>
        <w:jc w:val="both"/>
        <w:rPr>
          <w:rFonts w:ascii="Marianne" w:hAnsi="Marianne"/>
          <w:b/>
          <w:bCs/>
        </w:rPr>
      </w:pPr>
      <w:r>
        <w:rPr>
          <w:rFonts w:ascii="Marianne" w:hAnsi="Marianne"/>
          <w:b/>
          <w:bCs/>
        </w:rPr>
        <w:t>Quelques essais de définitions :</w:t>
      </w:r>
    </w:p>
    <w:p w14:paraId="52A9309B" w14:textId="3AC7BC80" w:rsidR="00983E62" w:rsidRDefault="00AD3D94" w:rsidP="00AD3D94">
      <w:pPr>
        <w:jc w:val="both"/>
        <w:rPr>
          <w:rFonts w:ascii="Marianne" w:hAnsi="Marianne"/>
        </w:rPr>
      </w:pPr>
      <w:r w:rsidRPr="00237DA1">
        <w:rPr>
          <w:rFonts w:ascii="Marianne" w:hAnsi="Marianne"/>
          <w:b/>
          <w:bCs/>
        </w:rPr>
        <w:t>Politique documentaire</w:t>
      </w:r>
      <w:r w:rsidR="00983E62" w:rsidRPr="00237DA1">
        <w:rPr>
          <w:rFonts w:ascii="Marianne" w:hAnsi="Marianne"/>
          <w:b/>
          <w:bCs/>
        </w:rPr>
        <w:t> :</w:t>
      </w:r>
      <w:r w:rsidR="00507FF8" w:rsidRPr="00237DA1">
        <w:rPr>
          <w:rFonts w:ascii="Marianne" w:hAnsi="Marianne"/>
          <w:b/>
          <w:bCs/>
        </w:rPr>
        <w:tab/>
      </w:r>
      <w:r w:rsidR="00507FF8">
        <w:rPr>
          <w:rFonts w:ascii="Marianne" w:hAnsi="Marianne"/>
        </w:rPr>
        <w:br/>
        <w:t xml:space="preserve">Ensemble des principes et moyens mis en œuvre pour déterminer et conduire une stratégie documentaire à l’échelle d’un établissement, d’un groupement d’établissement ou d’un périmètre encore plus large, sur tout ou partie des ressources </w:t>
      </w:r>
      <w:r w:rsidR="00846CD2">
        <w:rPr>
          <w:rFonts w:ascii="Marianne" w:hAnsi="Marianne"/>
        </w:rPr>
        <w:t>documentaires concernées</w:t>
      </w:r>
      <w:r w:rsidR="00507FF8">
        <w:rPr>
          <w:rFonts w:ascii="Marianne" w:hAnsi="Marianne"/>
        </w:rPr>
        <w:t>.</w:t>
      </w:r>
      <w:r w:rsidR="00232DCF">
        <w:rPr>
          <w:rFonts w:ascii="Marianne" w:hAnsi="Marianne"/>
        </w:rPr>
        <w:tab/>
      </w:r>
      <w:r w:rsidR="00507FF8">
        <w:rPr>
          <w:rFonts w:ascii="Marianne" w:hAnsi="Marianne"/>
        </w:rPr>
        <w:t xml:space="preserve"> </w:t>
      </w:r>
      <w:r w:rsidR="00232DCF">
        <w:rPr>
          <w:rFonts w:ascii="Marianne" w:hAnsi="Marianne"/>
        </w:rPr>
        <w:br/>
      </w:r>
      <w:r w:rsidR="00507FF8">
        <w:rPr>
          <w:rFonts w:ascii="Marianne" w:hAnsi="Marianne"/>
        </w:rPr>
        <w:t>À partir de l’analyse de l’existant et des usages observés, eu égard aux missions de l’entité concernée</w:t>
      </w:r>
      <w:r w:rsidR="003F0795">
        <w:rPr>
          <w:rFonts w:ascii="Marianne" w:hAnsi="Marianne"/>
        </w:rPr>
        <w:t xml:space="preserve"> *</w:t>
      </w:r>
      <w:r w:rsidR="00507FF8">
        <w:rPr>
          <w:rFonts w:ascii="Marianne" w:hAnsi="Marianne"/>
        </w:rPr>
        <w:t xml:space="preserve">, les professionnels de la documentation définissent un ensemble de </w:t>
      </w:r>
      <w:r w:rsidR="0083400F">
        <w:rPr>
          <w:rFonts w:ascii="Marianne" w:hAnsi="Marianne"/>
        </w:rPr>
        <w:t>méthodes de gestion</w:t>
      </w:r>
      <w:r w:rsidR="00507FF8">
        <w:rPr>
          <w:rFonts w:ascii="Marianne" w:hAnsi="Marianne"/>
        </w:rPr>
        <w:t xml:space="preserve"> et </w:t>
      </w:r>
      <w:r w:rsidR="0083400F">
        <w:rPr>
          <w:rFonts w:ascii="Marianne" w:hAnsi="Marianne"/>
        </w:rPr>
        <w:t>d’objectifs</w:t>
      </w:r>
      <w:r w:rsidR="00232DCF">
        <w:rPr>
          <w:rFonts w:ascii="Marianne" w:hAnsi="Marianne"/>
        </w:rPr>
        <w:t xml:space="preserve"> </w:t>
      </w:r>
      <w:r w:rsidR="00507FF8">
        <w:rPr>
          <w:rFonts w:ascii="Marianne" w:hAnsi="Marianne"/>
        </w:rPr>
        <w:t xml:space="preserve">permettant d’orienter </w:t>
      </w:r>
      <w:r w:rsidR="003A4DD0">
        <w:rPr>
          <w:rFonts w:ascii="Marianne" w:hAnsi="Marianne"/>
        </w:rPr>
        <w:t xml:space="preserve">et d’optimiser </w:t>
      </w:r>
      <w:r w:rsidR="00507FF8">
        <w:rPr>
          <w:rFonts w:ascii="Marianne" w:hAnsi="Marianne"/>
        </w:rPr>
        <w:t>le développement des collections, les modalités de leur mise à disposition, leur valorisation, leur cycle de vie, l</w:t>
      </w:r>
      <w:r w:rsidR="0083400F">
        <w:rPr>
          <w:rFonts w:ascii="Marianne" w:hAnsi="Marianne"/>
        </w:rPr>
        <w:t xml:space="preserve">es modalités </w:t>
      </w:r>
      <w:r w:rsidR="00507FF8">
        <w:rPr>
          <w:rFonts w:ascii="Marianne" w:hAnsi="Marianne"/>
        </w:rPr>
        <w:t>de signalement, les plans de classement</w:t>
      </w:r>
      <w:r w:rsidR="00232DCF">
        <w:rPr>
          <w:rFonts w:ascii="Marianne" w:hAnsi="Marianne"/>
        </w:rPr>
        <w:t>, etc.</w:t>
      </w:r>
      <w:r w:rsidR="00232DCF">
        <w:rPr>
          <w:rFonts w:ascii="Marianne" w:hAnsi="Marianne"/>
        </w:rPr>
        <w:br/>
      </w:r>
      <w:r w:rsidR="003F0795" w:rsidRPr="003F0795">
        <w:rPr>
          <w:rFonts w:ascii="Marianne" w:hAnsi="Marianne"/>
          <w:i/>
          <w:iCs/>
        </w:rPr>
        <w:t>* À titre d’exemple l</w:t>
      </w:r>
      <w:r w:rsidR="00232DCF" w:rsidRPr="003F0795">
        <w:rPr>
          <w:rFonts w:ascii="Marianne" w:hAnsi="Marianne"/>
          <w:i/>
          <w:iCs/>
        </w:rPr>
        <w:t xml:space="preserve">a politique documentaire </w:t>
      </w:r>
      <w:r w:rsidR="00507FF8" w:rsidRPr="003F0795">
        <w:rPr>
          <w:rFonts w:ascii="Marianne" w:hAnsi="Marianne"/>
          <w:i/>
          <w:iCs/>
        </w:rPr>
        <w:t xml:space="preserve">d’une bibliothèque de recherche </w:t>
      </w:r>
      <w:r w:rsidR="00232DCF" w:rsidRPr="003F0795">
        <w:rPr>
          <w:rFonts w:ascii="Marianne" w:hAnsi="Marianne"/>
          <w:i/>
          <w:iCs/>
        </w:rPr>
        <w:t xml:space="preserve">dotée d’un fonds patrimonial et d’une bibliothèque d’étude sans mission de conservation </w:t>
      </w:r>
      <w:r w:rsidR="0083400F" w:rsidRPr="003F0795">
        <w:rPr>
          <w:rFonts w:ascii="Marianne" w:hAnsi="Marianne"/>
          <w:i/>
          <w:iCs/>
        </w:rPr>
        <w:t>seront</w:t>
      </w:r>
      <w:r w:rsidR="00232DCF" w:rsidRPr="003F0795">
        <w:rPr>
          <w:rFonts w:ascii="Marianne" w:hAnsi="Marianne"/>
          <w:i/>
          <w:iCs/>
        </w:rPr>
        <w:t xml:space="preserve"> très différentes</w:t>
      </w:r>
      <w:r w:rsidR="0083400F" w:rsidRPr="003F0795">
        <w:rPr>
          <w:rFonts w:ascii="Marianne" w:hAnsi="Marianne"/>
          <w:i/>
          <w:iCs/>
        </w:rPr>
        <w:t xml:space="preserve"> </w:t>
      </w:r>
      <w:r w:rsidR="00232DCF" w:rsidRPr="003F0795">
        <w:rPr>
          <w:rFonts w:ascii="Marianne" w:hAnsi="Marianne"/>
          <w:i/>
          <w:iCs/>
        </w:rPr>
        <w:t xml:space="preserve">tout en partageant les mêmes méthodes </w:t>
      </w:r>
      <w:r w:rsidR="00846CD2" w:rsidRPr="003F0795">
        <w:rPr>
          <w:rFonts w:ascii="Marianne" w:hAnsi="Marianne"/>
          <w:i/>
          <w:iCs/>
        </w:rPr>
        <w:t>et outils d’analyse.</w:t>
      </w:r>
    </w:p>
    <w:p w14:paraId="086DF42D" w14:textId="77777777" w:rsidR="00237DA1" w:rsidRDefault="00237DA1" w:rsidP="00237DA1">
      <w:pPr>
        <w:jc w:val="both"/>
        <w:rPr>
          <w:rFonts w:ascii="Marianne" w:hAnsi="Marianne"/>
        </w:rPr>
      </w:pPr>
      <w:r w:rsidRPr="00237DA1">
        <w:rPr>
          <w:rFonts w:ascii="Marianne" w:hAnsi="Marianne"/>
          <w:b/>
          <w:bCs/>
        </w:rPr>
        <w:t>Handicap :</w:t>
      </w:r>
      <w:r>
        <w:rPr>
          <w:rFonts w:ascii="Marianne" w:hAnsi="Marianne"/>
        </w:rPr>
        <w:br/>
      </w:r>
      <w:r w:rsidRPr="00B27B61">
        <w:rPr>
          <w:rFonts w:ascii="Marianne" w:hAnsi="Marianne"/>
        </w:rPr>
        <w:t>Le handicap est un ensemble de limitations, déficiences, ou incapacités affectant un individu, qu’il s’agisse de situations temporaires ou permanentes</w:t>
      </w:r>
      <w:r>
        <w:rPr>
          <w:rFonts w:ascii="Marianne" w:hAnsi="Marianne"/>
        </w:rPr>
        <w:t>. D’après l’OMS « </w:t>
      </w:r>
      <w:r w:rsidRPr="00B27B61">
        <w:rPr>
          <w:rFonts w:ascii="Marianne" w:hAnsi="Marianne"/>
        </w:rPr>
        <w:t>Il résulte de l’interaction entre des problèmes de santé […] et toute une série de facteurs environnementaux et personnels</w:t>
      </w:r>
      <w:r>
        <w:rPr>
          <w:rFonts w:ascii="Marianne" w:hAnsi="Marianne"/>
        </w:rPr>
        <w:t>. »</w:t>
      </w:r>
      <w:r>
        <w:rPr>
          <w:rFonts w:ascii="Marianne" w:hAnsi="Marianne"/>
        </w:rPr>
        <w:tab/>
      </w:r>
      <w:r>
        <w:rPr>
          <w:rFonts w:ascii="Marianne" w:hAnsi="Marianne"/>
        </w:rPr>
        <w:br/>
      </w:r>
      <w:r w:rsidRPr="00B27B61">
        <w:rPr>
          <w:rFonts w:ascii="Marianne" w:hAnsi="Marianne"/>
        </w:rPr>
        <w:t>Mais le handicap ne se résume pas à</w:t>
      </w:r>
      <w:r>
        <w:rPr>
          <w:rFonts w:ascii="Marianne" w:hAnsi="Marianne"/>
        </w:rPr>
        <w:t xml:space="preserve"> des limitations</w:t>
      </w:r>
      <w:r w:rsidRPr="00B27B61">
        <w:rPr>
          <w:rFonts w:ascii="Marianne" w:hAnsi="Marianne"/>
        </w:rPr>
        <w:t>, il entrave à des degrés divers les possibilités d'interaction d'un individu avec son environnement, et les difficultés rencontrées peuvent être simultanément psychologiques, intellectuelles, sociales et physiques.</w:t>
      </w:r>
    </w:p>
    <w:p w14:paraId="2B3054B0" w14:textId="77777777" w:rsidR="00237DA1" w:rsidRDefault="00237DA1" w:rsidP="00237DA1">
      <w:pPr>
        <w:jc w:val="both"/>
        <w:rPr>
          <w:rFonts w:ascii="Marianne" w:hAnsi="Marianne"/>
        </w:rPr>
      </w:pPr>
      <w:r w:rsidRPr="00237DA1">
        <w:rPr>
          <w:rFonts w:ascii="Marianne" w:hAnsi="Marianne"/>
          <w:b/>
          <w:bCs/>
        </w:rPr>
        <w:t>Accessibilité :</w:t>
      </w:r>
      <w:r>
        <w:rPr>
          <w:rFonts w:ascii="Marianne" w:hAnsi="Marianne"/>
        </w:rPr>
        <w:br/>
        <w:t>Au sens de la loi de 2005 l’accessibilité</w:t>
      </w:r>
      <w:r w:rsidRPr="00B27B61">
        <w:rPr>
          <w:rFonts w:ascii="Marianne" w:hAnsi="Marianne"/>
        </w:rPr>
        <w:t xml:space="preserve"> a pour objectif l’autonomie et à la participation des personnes en situation de handicap.</w:t>
      </w:r>
      <w:r>
        <w:rPr>
          <w:rFonts w:ascii="Marianne" w:hAnsi="Marianne"/>
        </w:rPr>
        <w:t xml:space="preserve"> </w:t>
      </w:r>
      <w:r>
        <w:rPr>
          <w:rStyle w:val="Appelnotedebasdep"/>
          <w:rFonts w:ascii="Marianne" w:hAnsi="Marianne"/>
        </w:rPr>
        <w:footnoteReference w:id="1"/>
      </w:r>
    </w:p>
    <w:p w14:paraId="0C945B74" w14:textId="749BA2AA" w:rsidR="00237DA1" w:rsidRDefault="00237DA1" w:rsidP="00237DA1">
      <w:pPr>
        <w:jc w:val="both"/>
        <w:rPr>
          <w:rFonts w:ascii="Marianne" w:hAnsi="Marianne"/>
        </w:rPr>
      </w:pPr>
      <w:r w:rsidRPr="00237DA1">
        <w:rPr>
          <w:rFonts w:ascii="Marianne" w:hAnsi="Marianne"/>
          <w:b/>
          <w:bCs/>
        </w:rPr>
        <w:t>Accessibilité numérique :</w:t>
      </w:r>
      <w:r w:rsidRPr="00237DA1">
        <w:rPr>
          <w:rFonts w:ascii="Marianne" w:hAnsi="Marianne"/>
          <w:b/>
          <w:bCs/>
        </w:rPr>
        <w:tab/>
      </w:r>
      <w:r>
        <w:rPr>
          <w:rFonts w:ascii="Marianne" w:hAnsi="Marianne"/>
        </w:rPr>
        <w:br/>
      </w:r>
      <w:r w:rsidRPr="00237DA1">
        <w:rPr>
          <w:rFonts w:ascii="Marianne" w:hAnsi="Marianne"/>
        </w:rPr>
        <w:t>L’accessibilité numérique consiste à rendre les services d</w:t>
      </w:r>
      <w:r w:rsidR="00846CD2">
        <w:rPr>
          <w:rFonts w:ascii="Marianne" w:hAnsi="Marianne"/>
        </w:rPr>
        <w:t>’information et d</w:t>
      </w:r>
      <w:r w:rsidRPr="00237DA1">
        <w:rPr>
          <w:rFonts w:ascii="Marianne" w:hAnsi="Marianne"/>
        </w:rPr>
        <w:t xml:space="preserve">e communication en ligne accessibles aux personnes </w:t>
      </w:r>
      <w:r w:rsidR="00B31297">
        <w:rPr>
          <w:rFonts w:ascii="Marianne" w:hAnsi="Marianne"/>
        </w:rPr>
        <w:t>en situation de handicap.</w:t>
      </w:r>
      <w:r>
        <w:rPr>
          <w:rFonts w:ascii="Marianne" w:hAnsi="Marianne"/>
        </w:rPr>
        <w:t xml:space="preserve"> En France un référentiel général d’amélioration de l’accessibilité (RGAA) décrit les règles et dispositifs permettant de mettre en œuvre l’accessibilité numérique pour toutes les personnes morales de droit public et de droit privé. </w:t>
      </w:r>
      <w:r>
        <w:rPr>
          <w:rStyle w:val="Appelnotedebasdep"/>
          <w:rFonts w:ascii="Marianne" w:hAnsi="Marianne"/>
        </w:rPr>
        <w:footnoteReference w:id="2"/>
      </w:r>
    </w:p>
    <w:p w14:paraId="00221DAE" w14:textId="2F385670" w:rsidR="00AD3D94" w:rsidRDefault="00AD3D94" w:rsidP="00877BAE">
      <w:pPr>
        <w:jc w:val="both"/>
        <w:rPr>
          <w:rFonts w:ascii="Marianne" w:hAnsi="Marianne"/>
        </w:rPr>
      </w:pPr>
      <w:r w:rsidRPr="00237DA1">
        <w:rPr>
          <w:rFonts w:ascii="Marianne" w:hAnsi="Marianne"/>
          <w:b/>
          <w:bCs/>
        </w:rPr>
        <w:t xml:space="preserve">Principe de laïcité et obligation de neutralité : </w:t>
      </w:r>
      <w:r w:rsidRPr="00237DA1">
        <w:rPr>
          <w:rFonts w:ascii="Marianne" w:hAnsi="Marianne"/>
          <w:b/>
          <w:bCs/>
        </w:rPr>
        <w:tab/>
      </w:r>
      <w:r>
        <w:rPr>
          <w:rFonts w:ascii="Marianne" w:hAnsi="Marianne"/>
        </w:rPr>
        <w:br/>
      </w:r>
      <w:r w:rsidR="00983E62">
        <w:rPr>
          <w:rFonts w:ascii="Marianne" w:hAnsi="Marianne"/>
        </w:rPr>
        <w:t>Selon le portail de la fonction publique : « </w:t>
      </w:r>
      <w:r>
        <w:rPr>
          <w:rFonts w:ascii="Marianne" w:hAnsi="Marianne"/>
        </w:rPr>
        <w:t>L</w:t>
      </w:r>
      <w:r w:rsidRPr="00AD3D94">
        <w:rPr>
          <w:rFonts w:ascii="Marianne" w:hAnsi="Marianne"/>
        </w:rPr>
        <w:t xml:space="preserve">e principe de laïcité et l’obligation de neutralité limitent la liberté d’expression des agents publics mais protègent leur liberté de conscience. Ils garantissent </w:t>
      </w:r>
      <w:r w:rsidRPr="0083400F">
        <w:rPr>
          <w:rFonts w:ascii="Marianne" w:hAnsi="Marianne"/>
        </w:rPr>
        <w:t xml:space="preserve">l’égalité de traitement de l’ensemble des usagers de l’administration. </w:t>
      </w:r>
      <w:r w:rsidRPr="00AD3D94">
        <w:rPr>
          <w:rFonts w:ascii="Marianne" w:hAnsi="Marianne"/>
        </w:rPr>
        <w:t>En contrepartie, les agents publics</w:t>
      </w:r>
      <w:r w:rsidR="0083400F">
        <w:rPr>
          <w:rFonts w:ascii="Marianne" w:hAnsi="Marianne"/>
        </w:rPr>
        <w:t xml:space="preserve"> […] </w:t>
      </w:r>
      <w:r w:rsidRPr="00AD3D94">
        <w:rPr>
          <w:rFonts w:ascii="Marianne" w:hAnsi="Marianne"/>
        </w:rPr>
        <w:t>doivent respecter</w:t>
      </w:r>
      <w:r w:rsidRPr="00AD3D94">
        <w:rPr>
          <w:rFonts w:ascii="Marianne" w:hAnsi="Marianne"/>
          <w:b/>
          <w:bCs/>
        </w:rPr>
        <w:t xml:space="preserve"> </w:t>
      </w:r>
      <w:r w:rsidRPr="00983E62">
        <w:rPr>
          <w:rFonts w:ascii="Marianne" w:hAnsi="Marianne"/>
        </w:rPr>
        <w:t>l’obligation de neutralité</w:t>
      </w:r>
      <w:r w:rsidRPr="00AD3D94">
        <w:rPr>
          <w:rFonts w:ascii="Marianne" w:hAnsi="Marianne"/>
        </w:rPr>
        <w:t xml:space="preserve"> aux termes de laquelle ils ne doivent pas, dans l’exercice de leurs fonctions, manifester leurs convictions qu’elles soient religieuses, philosophiques ou politiques, tant à l’égard des usagers que vis-à-vis de leurs collègues, ni faire prévaloir leur préférence pour une religion.</w:t>
      </w:r>
      <w:r w:rsidR="0083400F">
        <w:rPr>
          <w:rFonts w:ascii="Marianne" w:hAnsi="Marianne"/>
        </w:rPr>
        <w:t xml:space="preserve"> </w:t>
      </w:r>
      <w:r w:rsidRPr="0083400F">
        <w:rPr>
          <w:rFonts w:ascii="Marianne" w:hAnsi="Marianne"/>
        </w:rPr>
        <w:t>La neutralité de la puissance publique protège les agents et les usagers du service public par le traitement égalitaire de toutes les personnes.</w:t>
      </w:r>
      <w:r w:rsidR="00983E62" w:rsidRPr="0083400F">
        <w:rPr>
          <w:rFonts w:ascii="Marianne" w:hAnsi="Marianne"/>
        </w:rPr>
        <w:t xml:space="preserve"> » </w:t>
      </w:r>
      <w:r w:rsidR="00983E62" w:rsidRPr="0083400F">
        <w:rPr>
          <w:rStyle w:val="Appelnotedebasdep"/>
          <w:rFonts w:ascii="Marianne" w:hAnsi="Marianne"/>
        </w:rPr>
        <w:footnoteReference w:id="3"/>
      </w:r>
      <w:r w:rsidR="00983E62">
        <w:rPr>
          <w:rFonts w:ascii="Marianne" w:hAnsi="Marianne"/>
        </w:rPr>
        <w:tab/>
      </w:r>
      <w:r>
        <w:rPr>
          <w:rFonts w:ascii="Marianne" w:hAnsi="Marianne"/>
        </w:rPr>
        <w:br/>
      </w:r>
      <w:r w:rsidR="00877BAE">
        <w:rPr>
          <w:rFonts w:ascii="Marianne" w:hAnsi="Marianne"/>
        </w:rPr>
        <w:lastRenderedPageBreak/>
        <w:t xml:space="preserve">Selon Éric Binet et Domnique Lahary, </w:t>
      </w:r>
      <w:r w:rsidR="0083400F">
        <w:rPr>
          <w:rFonts w:ascii="Marianne" w:hAnsi="Marianne"/>
        </w:rPr>
        <w:t xml:space="preserve">la </w:t>
      </w:r>
      <w:r w:rsidR="00877BAE">
        <w:rPr>
          <w:rFonts w:ascii="Marianne" w:hAnsi="Marianne"/>
        </w:rPr>
        <w:t xml:space="preserve">neutralité n’est </w:t>
      </w:r>
      <w:r w:rsidR="0083400F">
        <w:rPr>
          <w:rFonts w:ascii="Marianne" w:hAnsi="Marianne"/>
        </w:rPr>
        <w:t xml:space="preserve">ni </w:t>
      </w:r>
      <w:r w:rsidR="00877BAE">
        <w:rPr>
          <w:rFonts w:ascii="Marianne" w:hAnsi="Marianne"/>
        </w:rPr>
        <w:t xml:space="preserve">faiblesse </w:t>
      </w:r>
      <w:r w:rsidR="0083400F">
        <w:rPr>
          <w:rFonts w:ascii="Marianne" w:hAnsi="Marianne"/>
        </w:rPr>
        <w:t>ni</w:t>
      </w:r>
      <w:r w:rsidR="00877BAE">
        <w:rPr>
          <w:rFonts w:ascii="Marianne" w:hAnsi="Marianne"/>
        </w:rPr>
        <w:t xml:space="preserve"> faux-fuyant</w:t>
      </w:r>
      <w:r w:rsidR="0083400F">
        <w:rPr>
          <w:rFonts w:ascii="Marianne" w:hAnsi="Marianne"/>
        </w:rPr>
        <w:t xml:space="preserve"> : </w:t>
      </w:r>
      <w:r w:rsidR="00877BAE">
        <w:rPr>
          <w:rFonts w:ascii="Marianne" w:hAnsi="Marianne"/>
        </w:rPr>
        <w:t>« c</w:t>
      </w:r>
      <w:r w:rsidR="00877BAE" w:rsidRPr="00877BAE">
        <w:rPr>
          <w:rFonts w:ascii="Marianne" w:hAnsi="Marianne"/>
        </w:rPr>
        <w:t>’est la force des bibliothèques que de pouvoir accueillir chaque personne telle qu’elle est dans ses appartenances multiples et ses singularités. Lieu pour chacun, elle est aussi un lieu de brassage, de rencontre et de coexistence, ce « lieu des liens » célébré par Michel Melot</w:t>
      </w:r>
      <w:r w:rsidR="00877BAE">
        <w:rPr>
          <w:rFonts w:ascii="Marianne" w:hAnsi="Marianne"/>
        </w:rPr>
        <w:t xml:space="preserve">. » </w:t>
      </w:r>
      <w:r w:rsidR="00877BAE">
        <w:rPr>
          <w:rStyle w:val="Appelnotedebasdep"/>
          <w:rFonts w:ascii="Marianne" w:hAnsi="Marianne"/>
        </w:rPr>
        <w:footnoteReference w:id="4"/>
      </w:r>
    </w:p>
    <w:p w14:paraId="13EC816E" w14:textId="08CA38F6" w:rsidR="00877BAE" w:rsidRDefault="00232DCF" w:rsidP="00877BAE">
      <w:pPr>
        <w:jc w:val="both"/>
        <w:rPr>
          <w:rFonts w:ascii="Marianne" w:hAnsi="Marianne"/>
        </w:rPr>
      </w:pPr>
      <w:r w:rsidRPr="00237DA1">
        <w:rPr>
          <w:rFonts w:ascii="Marianne" w:hAnsi="Marianne"/>
          <w:b/>
          <w:bCs/>
        </w:rPr>
        <w:t>Universalisme :</w:t>
      </w:r>
      <w:r w:rsidR="00E6038D">
        <w:rPr>
          <w:rFonts w:ascii="Marianne" w:hAnsi="Marianne"/>
          <w:b/>
          <w:bCs/>
        </w:rPr>
        <w:br/>
      </w:r>
      <w:r>
        <w:rPr>
          <w:rFonts w:ascii="Marianne" w:hAnsi="Marianne"/>
        </w:rPr>
        <w:t xml:space="preserve">L’universalisme est une doctrine philosophique qui </w:t>
      </w:r>
      <w:r w:rsidR="00E6038D">
        <w:rPr>
          <w:rFonts w:ascii="Marianne" w:hAnsi="Marianne"/>
        </w:rPr>
        <w:t xml:space="preserve">voit dans l’expérience humaine </w:t>
      </w:r>
      <w:r w:rsidR="0083400F">
        <w:rPr>
          <w:rFonts w:ascii="Marianne" w:hAnsi="Marianne"/>
        </w:rPr>
        <w:t xml:space="preserve">une identité de valeurs, de besoins, et </w:t>
      </w:r>
      <w:r w:rsidR="00E6038D">
        <w:rPr>
          <w:rFonts w:ascii="Marianne" w:hAnsi="Marianne"/>
        </w:rPr>
        <w:t xml:space="preserve">l’obligation morale de </w:t>
      </w:r>
      <w:r w:rsidR="0083400F">
        <w:rPr>
          <w:rFonts w:ascii="Marianne" w:hAnsi="Marianne"/>
        </w:rPr>
        <w:t xml:space="preserve">les </w:t>
      </w:r>
      <w:r w:rsidR="00E6038D">
        <w:rPr>
          <w:rFonts w:ascii="Marianne" w:hAnsi="Marianne"/>
        </w:rPr>
        <w:t xml:space="preserve">respecter à l’échelle de l’humanité tout entière. Il connait son apogée en 1948 avec la déclaration universelle des droits de l’homme, adoptée par l’assemblée générale des </w:t>
      </w:r>
      <w:r w:rsidR="00B31297">
        <w:rPr>
          <w:rFonts w:ascii="Marianne" w:hAnsi="Marianne"/>
        </w:rPr>
        <w:t>N</w:t>
      </w:r>
      <w:r w:rsidR="00E6038D">
        <w:rPr>
          <w:rFonts w:ascii="Marianne" w:hAnsi="Marianne"/>
        </w:rPr>
        <w:t xml:space="preserve">ations </w:t>
      </w:r>
      <w:r w:rsidR="00B31297">
        <w:rPr>
          <w:rFonts w:ascii="Marianne" w:hAnsi="Marianne"/>
        </w:rPr>
        <w:t>U</w:t>
      </w:r>
      <w:r w:rsidR="00E6038D">
        <w:rPr>
          <w:rFonts w:ascii="Marianne" w:hAnsi="Marianne"/>
        </w:rPr>
        <w:t xml:space="preserve">nies. Cette doctrine </w:t>
      </w:r>
      <w:r>
        <w:rPr>
          <w:rFonts w:ascii="Marianne" w:hAnsi="Marianne"/>
        </w:rPr>
        <w:t>sied bien aux bibliothèques dont la stricte neutralité garanti</w:t>
      </w:r>
      <w:r w:rsidR="00B31297">
        <w:rPr>
          <w:rFonts w:ascii="Marianne" w:hAnsi="Marianne"/>
        </w:rPr>
        <w:t>t</w:t>
      </w:r>
      <w:r>
        <w:rPr>
          <w:rFonts w:ascii="Marianne" w:hAnsi="Marianne"/>
        </w:rPr>
        <w:t xml:space="preserve"> une certaine forme d’égalité</w:t>
      </w:r>
      <w:r w:rsidR="00B27B61">
        <w:rPr>
          <w:rFonts w:ascii="Marianne" w:hAnsi="Marianne"/>
        </w:rPr>
        <w:t xml:space="preserve"> d’accès au savoir</w:t>
      </w:r>
      <w:r>
        <w:rPr>
          <w:rFonts w:ascii="Marianne" w:hAnsi="Marianne"/>
        </w:rPr>
        <w:t>, mais s’avère insuffisant</w:t>
      </w:r>
      <w:r w:rsidR="00B31297">
        <w:rPr>
          <w:rFonts w:ascii="Marianne" w:hAnsi="Marianne"/>
        </w:rPr>
        <w:t>e</w:t>
      </w:r>
      <w:r>
        <w:rPr>
          <w:rFonts w:ascii="Marianne" w:hAnsi="Marianne"/>
        </w:rPr>
        <w:t xml:space="preserve"> à penser </w:t>
      </w:r>
      <w:r w:rsidR="00B27B61">
        <w:rPr>
          <w:rFonts w:ascii="Marianne" w:hAnsi="Marianne"/>
        </w:rPr>
        <w:t xml:space="preserve">la complexité des politiques d’accessibilité et plus </w:t>
      </w:r>
      <w:r w:rsidR="00E6038D">
        <w:rPr>
          <w:rFonts w:ascii="Marianne" w:hAnsi="Marianne"/>
        </w:rPr>
        <w:t>généralement</w:t>
      </w:r>
      <w:r w:rsidR="00B27B61">
        <w:rPr>
          <w:rFonts w:ascii="Marianne" w:hAnsi="Marianne"/>
        </w:rPr>
        <w:t xml:space="preserve"> d’inclusivité.</w:t>
      </w:r>
      <w:r w:rsidR="00E6038D">
        <w:rPr>
          <w:rFonts w:ascii="Marianne" w:hAnsi="Marianne"/>
        </w:rPr>
        <w:tab/>
      </w:r>
      <w:r>
        <w:rPr>
          <w:rFonts w:ascii="Marianne" w:hAnsi="Marianne"/>
        </w:rPr>
        <w:t xml:space="preserve"> </w:t>
      </w:r>
      <w:r w:rsidR="00E6038D">
        <w:rPr>
          <w:rFonts w:ascii="Marianne" w:hAnsi="Marianne"/>
        </w:rPr>
        <w:br/>
        <w:t xml:space="preserve">Il est opposé au relativisme, mais depuis quelques années il est souvent </w:t>
      </w:r>
      <w:r w:rsidR="0083400F">
        <w:rPr>
          <w:rFonts w:ascii="Marianne" w:hAnsi="Marianne"/>
        </w:rPr>
        <w:t>proclamé</w:t>
      </w:r>
      <w:r w:rsidR="00E6038D">
        <w:rPr>
          <w:rFonts w:ascii="Marianne" w:hAnsi="Marianne"/>
        </w:rPr>
        <w:t xml:space="preserve"> de façon équivoque comme l’antithèse de l’individualisme</w:t>
      </w:r>
      <w:r w:rsidR="0083400F">
        <w:rPr>
          <w:rFonts w:ascii="Marianne" w:hAnsi="Marianne"/>
        </w:rPr>
        <w:t xml:space="preserve">, </w:t>
      </w:r>
      <w:r w:rsidR="00E6038D">
        <w:rPr>
          <w:rFonts w:ascii="Marianne" w:hAnsi="Marianne"/>
        </w:rPr>
        <w:t>du communautarisme</w:t>
      </w:r>
      <w:r w:rsidR="0083400F">
        <w:rPr>
          <w:rFonts w:ascii="Marianne" w:hAnsi="Marianne"/>
        </w:rPr>
        <w:t>, voire du fondamentalisme religieux.</w:t>
      </w:r>
    </w:p>
    <w:p w14:paraId="62E7D63A" w14:textId="1B975CCF" w:rsidR="00E876E8" w:rsidRDefault="00F051E2" w:rsidP="00AD3D94">
      <w:pPr>
        <w:jc w:val="both"/>
        <w:rPr>
          <w:rFonts w:ascii="Marianne" w:hAnsi="Marianne"/>
          <w:b/>
          <w:bCs/>
        </w:rPr>
      </w:pPr>
      <w:r w:rsidRPr="001B748F">
        <w:rPr>
          <w:rFonts w:ascii="Marianne" w:hAnsi="Marianne"/>
          <w:b/>
          <w:bCs/>
        </w:rPr>
        <w:t>Liberté académique</w:t>
      </w:r>
      <w:r>
        <w:rPr>
          <w:rFonts w:ascii="Marianne" w:hAnsi="Marianne"/>
        </w:rPr>
        <w:t xml:space="preserve"> : </w:t>
      </w:r>
      <w:r>
        <w:rPr>
          <w:rFonts w:ascii="Marianne" w:hAnsi="Marianne"/>
        </w:rPr>
        <w:tab/>
      </w:r>
      <w:r>
        <w:rPr>
          <w:rFonts w:ascii="Marianne" w:hAnsi="Marianne"/>
        </w:rPr>
        <w:br/>
        <w:t xml:space="preserve">Principe d’indépendance </w:t>
      </w:r>
      <w:r w:rsidR="00774C61">
        <w:rPr>
          <w:rFonts w:ascii="Marianne" w:hAnsi="Marianne"/>
        </w:rPr>
        <w:t xml:space="preserve">intellectuelle des enseignants-chercheurs </w:t>
      </w:r>
      <w:r w:rsidR="00A63BB8">
        <w:rPr>
          <w:rFonts w:ascii="Marianne" w:hAnsi="Marianne"/>
        </w:rPr>
        <w:t>et du personnel scientifique des établissements d’enseignement supérieur ou de la recherche. Cette indépendance s’exerce</w:t>
      </w:r>
      <w:r w:rsidR="00774C61">
        <w:rPr>
          <w:rFonts w:ascii="Marianne" w:hAnsi="Marianne"/>
        </w:rPr>
        <w:t xml:space="preserve"> </w:t>
      </w:r>
      <w:r>
        <w:rPr>
          <w:rFonts w:ascii="Marianne" w:hAnsi="Marianne"/>
        </w:rPr>
        <w:t>à l’égard de la puissance publique</w:t>
      </w:r>
      <w:r w:rsidR="00A63BB8">
        <w:rPr>
          <w:rFonts w:ascii="Marianne" w:hAnsi="Marianne"/>
        </w:rPr>
        <w:t>, elle</w:t>
      </w:r>
      <w:r w:rsidR="00774C61">
        <w:rPr>
          <w:rFonts w:ascii="Marianne" w:hAnsi="Marianne"/>
        </w:rPr>
        <w:t xml:space="preserve"> suppose de pouvoir écrire, publier, exprimer librement les résultats des recherches sans menace ni entrave, et protège la communauté scientifique de pressions </w:t>
      </w:r>
      <w:r w:rsidR="00A63BB8">
        <w:rPr>
          <w:rFonts w:ascii="Marianne" w:hAnsi="Marianne"/>
        </w:rPr>
        <w:t>de toutes natures</w:t>
      </w:r>
      <w:r w:rsidR="00774C61">
        <w:rPr>
          <w:rFonts w:ascii="Marianne" w:hAnsi="Marianne"/>
        </w:rPr>
        <w:t>.</w:t>
      </w:r>
      <w:r w:rsidR="00A63BB8" w:rsidRPr="00A63BB8">
        <w:rPr>
          <w:rFonts w:ascii="Marianne" w:hAnsi="Marianne"/>
        </w:rPr>
        <w:t xml:space="preserve"> </w:t>
      </w:r>
      <w:r w:rsidR="00A63BB8">
        <w:rPr>
          <w:rFonts w:ascii="Marianne" w:hAnsi="Marianne"/>
        </w:rPr>
        <w:t>La liberté académique s’accompagne d’un principe de responsabilité puisque les personnes concernées exercent dans un cadre déontologique ou éthique (intégrité scientifique) sous le regard critique de leurs pairs.</w:t>
      </w:r>
    </w:p>
    <w:p w14:paraId="7DA79F84" w14:textId="6BB26A96" w:rsidR="003F0795" w:rsidRDefault="00237DA1" w:rsidP="00AD3D94">
      <w:pPr>
        <w:jc w:val="both"/>
        <w:rPr>
          <w:rFonts w:ascii="Marianne" w:hAnsi="Marianne"/>
        </w:rPr>
      </w:pPr>
      <w:r w:rsidRPr="00846CD2">
        <w:rPr>
          <w:rFonts w:ascii="Marianne" w:hAnsi="Marianne"/>
          <w:b/>
          <w:bCs/>
        </w:rPr>
        <w:t>DEAI :</w:t>
      </w:r>
      <w:r>
        <w:rPr>
          <w:rFonts w:ascii="Marianne" w:hAnsi="Marianne"/>
        </w:rPr>
        <w:t xml:space="preserve"> </w:t>
      </w:r>
      <w:r w:rsidR="00846CD2">
        <w:rPr>
          <w:rFonts w:ascii="Marianne" w:hAnsi="Marianne"/>
        </w:rPr>
        <w:br/>
        <w:t>A</w:t>
      </w:r>
      <w:r>
        <w:rPr>
          <w:rFonts w:ascii="Marianne" w:hAnsi="Marianne"/>
        </w:rPr>
        <w:t>cronyme de « </w:t>
      </w:r>
      <w:r w:rsidRPr="00237DA1">
        <w:rPr>
          <w:rFonts w:ascii="Marianne" w:hAnsi="Marianne"/>
        </w:rPr>
        <w:t>Diversité, Équité, Accessibilité, Inclusion</w:t>
      </w:r>
      <w:r>
        <w:rPr>
          <w:rFonts w:ascii="Marianne" w:hAnsi="Marianne"/>
        </w:rPr>
        <w:t> »</w:t>
      </w:r>
      <w:r w:rsidR="003F0795">
        <w:rPr>
          <w:rFonts w:ascii="Marianne" w:hAnsi="Marianne"/>
        </w:rPr>
        <w:tab/>
      </w:r>
      <w:r w:rsidR="003F0795">
        <w:rPr>
          <w:rFonts w:ascii="Marianne" w:hAnsi="Marianne"/>
        </w:rPr>
        <w:br/>
        <w:t>En anglais IDEA « I</w:t>
      </w:r>
      <w:r w:rsidR="003F0795" w:rsidRPr="003F0795">
        <w:rPr>
          <w:rFonts w:ascii="Marianne" w:hAnsi="Marianne"/>
        </w:rPr>
        <w:t>nclusion</w:t>
      </w:r>
      <w:r w:rsidR="003F0795">
        <w:rPr>
          <w:rFonts w:ascii="Marianne" w:hAnsi="Marianne"/>
        </w:rPr>
        <w:t>, D</w:t>
      </w:r>
      <w:r w:rsidR="003F0795" w:rsidRPr="003F0795">
        <w:rPr>
          <w:rFonts w:ascii="Marianne" w:hAnsi="Marianne"/>
        </w:rPr>
        <w:t>iversity</w:t>
      </w:r>
      <w:r w:rsidR="003F0795">
        <w:rPr>
          <w:rFonts w:ascii="Marianne" w:hAnsi="Marianne"/>
        </w:rPr>
        <w:t>, E</w:t>
      </w:r>
      <w:r w:rsidR="003F0795" w:rsidRPr="003F0795">
        <w:rPr>
          <w:rFonts w:ascii="Marianne" w:hAnsi="Marianne"/>
        </w:rPr>
        <w:t>quity</w:t>
      </w:r>
      <w:r w:rsidR="003F0795">
        <w:rPr>
          <w:rFonts w:ascii="Marianne" w:hAnsi="Marianne"/>
        </w:rPr>
        <w:t>, A</w:t>
      </w:r>
      <w:r w:rsidR="003F0795" w:rsidRPr="003F0795">
        <w:rPr>
          <w:rFonts w:ascii="Marianne" w:hAnsi="Marianne"/>
        </w:rPr>
        <w:t>ccessibility</w:t>
      </w:r>
      <w:r w:rsidR="003F0795">
        <w:rPr>
          <w:rFonts w:ascii="Marianne" w:hAnsi="Marianne"/>
        </w:rPr>
        <w:t> »</w:t>
      </w:r>
    </w:p>
    <w:p w14:paraId="21D6E98C" w14:textId="4CCA7042" w:rsidR="00E876E8" w:rsidRDefault="00E876E8" w:rsidP="00AD3D94">
      <w:pPr>
        <w:jc w:val="both"/>
        <w:rPr>
          <w:rFonts w:ascii="Marianne" w:hAnsi="Marianne"/>
        </w:rPr>
      </w:pPr>
    </w:p>
    <w:p w14:paraId="218C2332" w14:textId="329A9CE0" w:rsidR="00E876E8" w:rsidRDefault="00E876E8" w:rsidP="00E876E8">
      <w:pPr>
        <w:jc w:val="both"/>
        <w:rPr>
          <w:rFonts w:ascii="Marianne" w:hAnsi="Marianne"/>
        </w:rPr>
      </w:pPr>
      <w:r w:rsidRPr="00E876E8">
        <w:rPr>
          <w:rFonts w:ascii="Marianne" w:hAnsi="Marianne"/>
          <w:b/>
          <w:bCs/>
        </w:rPr>
        <w:t>Inclusivité :</w:t>
      </w:r>
      <w:r>
        <w:rPr>
          <w:rFonts w:ascii="Marianne" w:hAnsi="Marianne"/>
        </w:rPr>
        <w:br/>
      </w:r>
      <w:r w:rsidRPr="00E876E8">
        <w:rPr>
          <w:rFonts w:ascii="Marianne" w:hAnsi="Marianne"/>
        </w:rPr>
        <w:t>La notion d’inclusivité, qui vise à l’inclusion de toutes et tous, implique une « action conjointe des structures et des citoyens […] dans une dynamique commune. »</w:t>
      </w:r>
      <w:r>
        <w:rPr>
          <w:rFonts w:ascii="Marianne" w:hAnsi="Marianne"/>
        </w:rPr>
        <w:t xml:space="preserve"> </w:t>
      </w:r>
      <w:r>
        <w:rPr>
          <w:rStyle w:val="Appelnotedebasdep"/>
          <w:rFonts w:ascii="Marianne" w:hAnsi="Marianne"/>
        </w:rPr>
        <w:footnoteReference w:id="5"/>
      </w:r>
      <w:r w:rsidR="00756E3D">
        <w:rPr>
          <w:rFonts w:ascii="Marianne" w:hAnsi="Marianne"/>
        </w:rPr>
        <w:tab/>
      </w:r>
      <w:r w:rsidR="00756E3D">
        <w:rPr>
          <w:rFonts w:ascii="Marianne" w:hAnsi="Marianne"/>
        </w:rPr>
        <w:br/>
      </w:r>
      <w:r w:rsidR="00756E3D" w:rsidRPr="00756E3D">
        <w:rPr>
          <w:rFonts w:ascii="Marianne" w:hAnsi="Marianne"/>
        </w:rPr>
        <w:t>Disposition visant à intégrer et assurer l'égalité de participation de tous les individus dans la société, notamment en promouvant l'équilibre entre les sexes dans la sphère politique et décisionnelle, tout en combattant activement les discours haineux et les actions antidémocratiques.</w:t>
      </w:r>
    </w:p>
    <w:p w14:paraId="0D4169FF" w14:textId="77777777" w:rsidR="00E876E8" w:rsidRPr="00AD3D94" w:rsidRDefault="00E876E8" w:rsidP="00AD3D94">
      <w:pPr>
        <w:jc w:val="both"/>
        <w:rPr>
          <w:rFonts w:ascii="Marianne" w:hAnsi="Marianne"/>
        </w:rPr>
      </w:pPr>
    </w:p>
    <w:p w14:paraId="56BA3883" w14:textId="77777777" w:rsidR="001B29AF" w:rsidRDefault="001B29AF" w:rsidP="0061073F">
      <w:pPr>
        <w:jc w:val="both"/>
        <w:rPr>
          <w:rFonts w:ascii="Marianne" w:hAnsi="Marianne"/>
        </w:rPr>
      </w:pPr>
    </w:p>
    <w:p w14:paraId="6D868B2F" w14:textId="6E2F0C7C" w:rsidR="0061073F" w:rsidRDefault="0061073F">
      <w:pPr>
        <w:rPr>
          <w:rFonts w:ascii="Marianne" w:hAnsi="Marianne"/>
        </w:rPr>
      </w:pPr>
    </w:p>
    <w:p w14:paraId="1DFED29B" w14:textId="53E24AF7" w:rsidR="00EB56D4" w:rsidRDefault="00EB56D4">
      <w:pPr>
        <w:rPr>
          <w:rFonts w:ascii="Marianne" w:hAnsi="Marianne"/>
        </w:rPr>
      </w:pPr>
    </w:p>
    <w:sectPr w:rsidR="00EB56D4" w:rsidSect="003F0795">
      <w:headerReference w:type="default" r:id="rId7"/>
      <w:footerReference w:type="default" r:id="rId8"/>
      <w:pgSz w:w="11906" w:h="16838" w:code="9"/>
      <w:pgMar w:top="1134" w:right="1247" w:bottom="1134" w:left="1247"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B0E7B" w14:textId="77777777" w:rsidR="000103AC" w:rsidRDefault="000103AC" w:rsidP="006D302A">
      <w:pPr>
        <w:spacing w:after="0" w:line="240" w:lineRule="auto"/>
      </w:pPr>
      <w:r>
        <w:separator/>
      </w:r>
    </w:p>
  </w:endnote>
  <w:endnote w:type="continuationSeparator" w:id="0">
    <w:p w14:paraId="2479B335" w14:textId="77777777" w:rsidR="000103AC" w:rsidRDefault="000103AC" w:rsidP="006D3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w:altName w:val="Century Gothic"/>
    <w:panose1 w:val="00000000000000000000"/>
    <w:charset w:val="00"/>
    <w:family w:val="roman"/>
    <w:notTrueType/>
    <w:pitch w:val="variable"/>
    <w:sig w:usb0="A00002AF" w:usb1="500078FB" w:usb2="00000000" w:usb3="00000000" w:csb0="0000009F" w:csb1="00000000"/>
  </w:font>
  <w:font w:name="Marianne">
    <w:altName w:val="Calibri"/>
    <w:panose1 w:val="00000000000000000000"/>
    <w:charset w:val="00"/>
    <w:family w:val="modern"/>
    <w:notTrueType/>
    <w:pitch w:val="variable"/>
    <w:sig w:usb0="0000000F" w:usb1="00000000" w:usb2="00000000" w:usb3="00000000" w:csb0="00000003"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1F2A7" w14:textId="50F6B402" w:rsidR="00174230" w:rsidRPr="003F0795" w:rsidRDefault="00F7713C" w:rsidP="00F7713C">
    <w:pPr>
      <w:pStyle w:val="Pieddepage"/>
      <w:rPr>
        <w:sz w:val="20"/>
        <w:szCs w:val="20"/>
      </w:rPr>
    </w:pPr>
    <w:r w:rsidRPr="003F0795">
      <w:rPr>
        <w:sz w:val="20"/>
        <w:szCs w:val="20"/>
      </w:rPr>
      <w:t xml:space="preserve">Dernière mise à jour : </w:t>
    </w:r>
    <w:r w:rsidR="00846CD2" w:rsidRPr="003F0795">
      <w:rPr>
        <w:sz w:val="20"/>
        <w:szCs w:val="20"/>
      </w:rPr>
      <w:t>0</w:t>
    </w:r>
    <w:r w:rsidR="003A4DD0" w:rsidRPr="003F0795">
      <w:rPr>
        <w:sz w:val="20"/>
        <w:szCs w:val="20"/>
      </w:rPr>
      <w:t>5</w:t>
    </w:r>
    <w:r w:rsidRPr="003F0795">
      <w:rPr>
        <w:sz w:val="20"/>
        <w:szCs w:val="20"/>
      </w:rPr>
      <w:t>/1</w:t>
    </w:r>
    <w:r w:rsidR="00846CD2" w:rsidRPr="003F0795">
      <w:rPr>
        <w:sz w:val="20"/>
        <w:szCs w:val="20"/>
      </w:rPr>
      <w:t>1</w:t>
    </w:r>
    <w:r w:rsidRPr="003F0795">
      <w:rPr>
        <w:sz w:val="20"/>
        <w:szCs w:val="20"/>
      </w:rPr>
      <w:t>/2025</w:t>
    </w:r>
    <w:r w:rsidR="003F0795">
      <w:rPr>
        <w:sz w:val="20"/>
        <w:szCs w:val="20"/>
      </w:rPr>
      <w:tab/>
    </w:r>
    <w:r w:rsidR="003F0795">
      <w:rPr>
        <w:noProof/>
        <w:sz w:val="20"/>
        <w:szCs w:val="20"/>
      </w:rPr>
      <w:drawing>
        <wp:inline distT="0" distB="0" distL="0" distR="0" wp14:anchorId="23649EA6" wp14:editId="1A7CF105">
          <wp:extent cx="1000125" cy="346710"/>
          <wp:effectExtent l="0" t="0" r="9525" b="0"/>
          <wp:docPr id="2" name="Image 2" descr="Une image contenant texte, Police, symbol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Police, symbol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1018175" cy="352967"/>
                  </a:xfrm>
                  <a:prstGeom prst="rect">
                    <a:avLst/>
                  </a:prstGeom>
                </pic:spPr>
              </pic:pic>
            </a:graphicData>
          </a:graphic>
        </wp:inline>
      </w:drawing>
    </w:r>
  </w:p>
  <w:p w14:paraId="37B399E2" w14:textId="77777777" w:rsidR="00174230" w:rsidRDefault="0017423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5B755" w14:textId="77777777" w:rsidR="000103AC" w:rsidRDefault="000103AC" w:rsidP="006D302A">
      <w:pPr>
        <w:spacing w:after="0" w:line="240" w:lineRule="auto"/>
      </w:pPr>
      <w:r>
        <w:separator/>
      </w:r>
    </w:p>
  </w:footnote>
  <w:footnote w:type="continuationSeparator" w:id="0">
    <w:p w14:paraId="7F5C926F" w14:textId="77777777" w:rsidR="000103AC" w:rsidRDefault="000103AC" w:rsidP="006D302A">
      <w:pPr>
        <w:spacing w:after="0" w:line="240" w:lineRule="auto"/>
      </w:pPr>
      <w:r>
        <w:continuationSeparator/>
      </w:r>
    </w:p>
  </w:footnote>
  <w:footnote w:id="1">
    <w:p w14:paraId="32852584" w14:textId="10EB104E" w:rsidR="00237DA1" w:rsidRPr="0083400F" w:rsidRDefault="00237DA1" w:rsidP="00237DA1">
      <w:pPr>
        <w:pStyle w:val="Notedebasdepage"/>
        <w:rPr>
          <w:sz w:val="18"/>
          <w:szCs w:val="18"/>
        </w:rPr>
      </w:pPr>
      <w:r w:rsidRPr="0083400F">
        <w:rPr>
          <w:rStyle w:val="Appelnotedebasdep"/>
          <w:sz w:val="18"/>
          <w:szCs w:val="18"/>
        </w:rPr>
        <w:footnoteRef/>
      </w:r>
      <w:r w:rsidRPr="0083400F">
        <w:rPr>
          <w:sz w:val="18"/>
          <w:szCs w:val="18"/>
        </w:rPr>
        <w:t xml:space="preserve"> </w:t>
      </w:r>
      <w:r w:rsidRPr="0083400F">
        <w:rPr>
          <w:sz w:val="18"/>
          <w:szCs w:val="18"/>
        </w:rPr>
        <w:fldChar w:fldCharType="begin"/>
      </w:r>
      <w:r w:rsidR="00E876E8">
        <w:rPr>
          <w:sz w:val="18"/>
          <w:szCs w:val="18"/>
        </w:rPr>
        <w:instrText xml:space="preserve"> ADDIN ZOTERO_ITEM CSL_CITATION {"citationID":"uiXGWcZn","properties":{"formattedCitation":"Loi n\\uc0\\u176{} 2005-102 du 11 f\\uc0\\u233{}vrier 2005 pour l\\uc0\\u8217{}\\uc0\\u233{}galit\\uc0\\u233{} des droits et des chances, la participation et la citoyennet\\uc0\\u233{} des personnes handicap\\uc0\\u233{}es, 2005-102 (2005), https://www.legifrance.gouv.fr/eli/loi/2005/2/11/SANX0300217L/jo/texte.","plainCitation":"Loi n° 2005-102 du 11 février 2005 pour l’égalité des droits et des chances, la participation et la citoyenneté des personnes handicapées, 2005-102 (2005), https://www.legifrance.gouv.fr/eli/loi/2005/2/11/SANX0300217L/jo/texte.","noteIndex":1},"citationItems":[{"id":5262,"uris":["http://zotero.org/groups/5783360/items/R9VJWVXV"],"itemData":{"id":5262,"type":"legislation","container-title":"2005-102","title":"Loi n° 2005-102 du 11 février 2005 pour l'égalité des droits et des chances, la participation et la citoyenneté des personnes handicapées","URL":"https://www.legifrance.gouv.fr/eli/loi/2005/2/11/SANX0300217L/jo/texte","issued":{"date-parts":[["2005"]]}}}],"schema":"https://github.com/citation-style-language/schema/raw/master/csl-citation.json"} </w:instrText>
      </w:r>
      <w:r w:rsidRPr="0083400F">
        <w:rPr>
          <w:sz w:val="18"/>
          <w:szCs w:val="18"/>
        </w:rPr>
        <w:fldChar w:fldCharType="separate"/>
      </w:r>
      <w:r w:rsidRPr="0083400F">
        <w:rPr>
          <w:rFonts w:ascii="Calibri" w:hAnsi="Calibri" w:cs="Calibri"/>
          <w:sz w:val="18"/>
          <w:szCs w:val="18"/>
        </w:rPr>
        <w:t>Loi n° 2005-102 du 11 février 2005 pour l’égalité des droits et des chances, la participation et la citoyenneté des personnes handicapées, 2005-102 (2005), https://www.legifrance.gouv.fr/eli/loi/2005/2/11/SANX0300217L/jo/texte.</w:t>
      </w:r>
      <w:r w:rsidRPr="0083400F">
        <w:rPr>
          <w:sz w:val="18"/>
          <w:szCs w:val="18"/>
        </w:rPr>
        <w:fldChar w:fldCharType="end"/>
      </w:r>
    </w:p>
  </w:footnote>
  <w:footnote w:id="2">
    <w:p w14:paraId="38FD1185" w14:textId="7E14D3CB" w:rsidR="00237DA1" w:rsidRPr="0083400F" w:rsidRDefault="00237DA1" w:rsidP="00237DA1">
      <w:pPr>
        <w:pStyle w:val="Notedebasdepage"/>
        <w:rPr>
          <w:sz w:val="18"/>
          <w:szCs w:val="18"/>
        </w:rPr>
      </w:pPr>
      <w:r w:rsidRPr="0083400F">
        <w:rPr>
          <w:rStyle w:val="Appelnotedebasdep"/>
          <w:sz w:val="18"/>
          <w:szCs w:val="18"/>
        </w:rPr>
        <w:footnoteRef/>
      </w:r>
      <w:r w:rsidRPr="0083400F">
        <w:rPr>
          <w:sz w:val="18"/>
          <w:szCs w:val="18"/>
        </w:rPr>
        <w:t xml:space="preserve"> </w:t>
      </w:r>
      <w:r w:rsidRPr="0083400F">
        <w:rPr>
          <w:sz w:val="18"/>
          <w:szCs w:val="18"/>
        </w:rPr>
        <w:fldChar w:fldCharType="begin"/>
      </w:r>
      <w:r w:rsidR="00E876E8">
        <w:rPr>
          <w:sz w:val="18"/>
          <w:szCs w:val="18"/>
        </w:rPr>
        <w:instrText xml:space="preserve"> ADDIN ZOTERO_ITEM CSL_CITATION {"citationID":"5wSnueem","properties":{"formattedCitation":"Direction interminist\\uc0\\u233{}rielle du num\\uc0\\u233{}rique, \\uc0\\u171{}\\uc0\\u160{}R\\uc0\\u233{}f\\uc0\\u233{}rentiel g\\uc0\\u233{}n\\uc0\\u233{}ral d\\uc0\\u8217{}am\\uc0\\u233{}lioration de l\\uc0\\u8217{}accessibilit\\uc0\\u233{} - RGAA (version 4.1.2)\\uc0\\u160{}\\uc0\\u187{}, 2023, https://accessibilite.numerique.gouv.fr/doc/RGAA-v4.1.2.pdf.","plainCitation":"Direction interministérielle du numérique, « Référentiel général d’amélioration de l’accessibilité - RGAA (version 4.1.2) », 2023, https://accessibilite.numerique.gouv.fr/doc/RGAA-v4.1.2.pdf.","noteIndex":2},"citationItems":[{"id":5320,"uris":["http://zotero.org/groups/5783360/items/LGBNX924"],"itemData":{"id":5320,"type":"webpage","title":"Référentiel général d’amélioration de l’accessibilité - RGAA (version 4.1.2)","URL":"https://accessibilite.numerique.gouv.fr/doc/RGAA-v4.1.2.pdf","author":[{"family":"Direction interministérielle du numérique","given":""}],"issued":{"date-parts":[["2023"]]}}}],"schema":"https://github.com/citation-style-language/schema/raw/master/csl-citation.json"} </w:instrText>
      </w:r>
      <w:r w:rsidRPr="0083400F">
        <w:rPr>
          <w:sz w:val="18"/>
          <w:szCs w:val="18"/>
        </w:rPr>
        <w:fldChar w:fldCharType="separate"/>
      </w:r>
      <w:r w:rsidRPr="0083400F">
        <w:rPr>
          <w:rFonts w:ascii="Calibri" w:hAnsi="Calibri" w:cs="Calibri"/>
          <w:sz w:val="18"/>
          <w:szCs w:val="18"/>
        </w:rPr>
        <w:t>Direction interministérielle du numérique, « Référentiel général d’amélioration de l’accessibilité - RGAA (version 4.1.2) », 2023, https://accessibilite.numerique.gouv.fr/doc/RGAA-v4.1.2.pdf.</w:t>
      </w:r>
      <w:r w:rsidRPr="0083400F">
        <w:rPr>
          <w:sz w:val="18"/>
          <w:szCs w:val="18"/>
        </w:rPr>
        <w:fldChar w:fldCharType="end"/>
      </w:r>
    </w:p>
  </w:footnote>
  <w:footnote w:id="3">
    <w:p w14:paraId="74888BDA" w14:textId="7269DDC1" w:rsidR="00983E62" w:rsidRDefault="00983E62">
      <w:pPr>
        <w:pStyle w:val="Notedebasdepage"/>
      </w:pPr>
      <w:r w:rsidRPr="0083400F">
        <w:rPr>
          <w:rStyle w:val="Appelnotedebasdep"/>
          <w:sz w:val="18"/>
          <w:szCs w:val="18"/>
        </w:rPr>
        <w:footnoteRef/>
      </w:r>
      <w:r w:rsidRPr="0083400F">
        <w:rPr>
          <w:sz w:val="18"/>
          <w:szCs w:val="18"/>
        </w:rPr>
        <w:t xml:space="preserve"> </w:t>
      </w:r>
      <w:r w:rsidRPr="0083400F">
        <w:rPr>
          <w:sz w:val="18"/>
          <w:szCs w:val="18"/>
        </w:rPr>
        <w:fldChar w:fldCharType="begin"/>
      </w:r>
      <w:r w:rsidR="00E876E8">
        <w:rPr>
          <w:sz w:val="18"/>
          <w:szCs w:val="18"/>
        </w:rPr>
        <w:instrText xml:space="preserve"> ADDIN ZOTERO_ITEM CSL_CITATION {"citationID":"G7y65DKV","properties":{"formattedCitation":"Minist\\uc0\\u232{}re de l\\uc0\\u8217{}action et des comptes publics, \\uc0\\u171{}\\uc0\\u160{}La\\uc0\\u239{}cit\\uc0\\u233{} et neutralit\\uc0\\u233{} de la fonction publique\\uc0\\u160{}\\uc0\\u187{}, Le portail de la fonction publique, 2024, https://www.fonction-publique.gouv.fr/etre-agent-public/mes-droits-et-obligations/laicite-et-neutralite-de-la-fonction-publique.","plainCitation":"Ministère de l’action et des comptes publics, « Laïcité et neutralité de la fonction publique », Le portail de la fonction publique, 2024, https://www.fonction-publique.gouv.fr/etre-agent-public/mes-droits-et-obligations/laicite-et-neutralite-de-la-fonction-publique.","dontUpdate":true,"noteIndex":3},"citationItems":[{"id":5360,"uris":["http://zotero.org/groups/5783360/items/KZCUC6ES"],"itemData":{"id":5360,"type":"webpage","container-title":"Le portail de la fonction publique","title":"Laïcité et neutralité de la fonction publique","URL":"https://www.fonction-publique.gouv.fr/etre-agent-public/mes-droits-et-obligations/laicite-et-neutralite-de-la-fonction-publique","author":[{"family":"Ministère de l'action et des comptes publics","given":""}],"issued":{"date-parts":[["2024"]]}}}],"schema":"https://github.com/citation-style-language/schema/raw/master/csl-citation.json"} </w:instrText>
      </w:r>
      <w:r w:rsidRPr="0083400F">
        <w:rPr>
          <w:sz w:val="18"/>
          <w:szCs w:val="18"/>
        </w:rPr>
        <w:fldChar w:fldCharType="separate"/>
      </w:r>
      <w:r w:rsidRPr="0083400F">
        <w:rPr>
          <w:rFonts w:ascii="Calibri" w:hAnsi="Calibri" w:cs="Calibri"/>
          <w:sz w:val="18"/>
          <w:szCs w:val="18"/>
        </w:rPr>
        <w:t>Ministère de l’action et des comptes publics, « Laïcité et neutralité de la fonction publique », Le portail de la fonction publique, 2024, https://www.fonction-publique.gouv.fr/etre-agent-public/mes-droits-et-obligations/laicite-et-neutralite-de-la-fonction-publique</w:t>
      </w:r>
      <w:r w:rsidRPr="0083400F">
        <w:rPr>
          <w:sz w:val="18"/>
          <w:szCs w:val="18"/>
        </w:rPr>
        <w:fldChar w:fldCharType="end"/>
      </w:r>
    </w:p>
  </w:footnote>
  <w:footnote w:id="4">
    <w:p w14:paraId="0C35308D" w14:textId="3DB2B72B" w:rsidR="00877BAE" w:rsidRPr="00E876E8" w:rsidRDefault="00877BAE">
      <w:pPr>
        <w:pStyle w:val="Notedebasdepage"/>
        <w:rPr>
          <w:sz w:val="18"/>
          <w:szCs w:val="18"/>
        </w:rPr>
      </w:pPr>
      <w:r w:rsidRPr="00E876E8">
        <w:rPr>
          <w:rStyle w:val="Appelnotedebasdep"/>
          <w:sz w:val="18"/>
          <w:szCs w:val="18"/>
        </w:rPr>
        <w:footnoteRef/>
      </w:r>
      <w:r w:rsidRPr="00E876E8">
        <w:rPr>
          <w:sz w:val="18"/>
          <w:szCs w:val="18"/>
        </w:rPr>
        <w:t xml:space="preserve"> </w:t>
      </w:r>
      <w:r w:rsidRPr="00E876E8">
        <w:rPr>
          <w:sz w:val="18"/>
          <w:szCs w:val="18"/>
        </w:rPr>
        <w:fldChar w:fldCharType="begin"/>
      </w:r>
      <w:r w:rsidR="00E876E8" w:rsidRPr="00E876E8">
        <w:rPr>
          <w:sz w:val="18"/>
          <w:szCs w:val="18"/>
        </w:rPr>
        <w:instrText xml:space="preserve"> ADDIN ZOTERO_ITEM CSL_CITATION {"citationID":"MBn9mj6a","properties":{"formattedCitation":"\\uc0\\u201{}ric Binet et Dominique Lahary, \\uc0\\u171{}\\uc0\\u160{}La\\uc0\\u239{}cit\\uc0\\u233{}, neutralit\\uc0\\u233{}, parlons-en\\uc0\\u160{}!\\uc0\\u160{}\\uc0\\u187{}, 2020, http://www.lahary.fr/pro/2020/BIBLIOtheques100-101-laicite-neutralite.htm.","plainCitation":"Éric Binet et Dominique Lahary, « Laïcité, neutralité, parlons-en ! », 2020, http://www.lahary.fr/pro/2020/BIBLIOtheques100-101-laicite-neutralite.htm.","dontUpdate":true,"noteIndex":4},"citationItems":[{"id":5357,"uris":["http://zotero.org/groups/5783360/items/GP5W5B3T"],"itemData":{"id":5357,"type":"webpage","title":"Laïcité, neutralité, parlons-en !","URL":"http://www.lahary.fr/pro/2020/BIBLIOtheques100-101-laicite-neutralite.htm","author":[{"family":"Binet","given":"Éric"},{"family":"Lahary","given":"Dominique"}],"issued":{"date-parts":[["2020"]]}}}],"schema":"https://github.com/citation-style-language/schema/raw/master/csl-citation.json"} </w:instrText>
      </w:r>
      <w:r w:rsidRPr="00E876E8">
        <w:rPr>
          <w:sz w:val="18"/>
          <w:szCs w:val="18"/>
        </w:rPr>
        <w:fldChar w:fldCharType="separate"/>
      </w:r>
      <w:r w:rsidRPr="00E876E8">
        <w:rPr>
          <w:rFonts w:ascii="Calibri" w:hAnsi="Calibri" w:cs="Calibri"/>
          <w:sz w:val="18"/>
          <w:szCs w:val="18"/>
        </w:rPr>
        <w:t>Éric Binet et Dominique Lahary, « Laïcité, neutralité, parlons-en ! », 2020, http://www.lahary.fr/pro/2020/BIBLIOtheques100-101-laicite-neutralite.htm</w:t>
      </w:r>
      <w:r w:rsidRPr="00E876E8">
        <w:rPr>
          <w:sz w:val="18"/>
          <w:szCs w:val="18"/>
        </w:rPr>
        <w:fldChar w:fldCharType="end"/>
      </w:r>
    </w:p>
  </w:footnote>
  <w:footnote w:id="5">
    <w:p w14:paraId="3586BD45" w14:textId="36D6BB78" w:rsidR="00E876E8" w:rsidRDefault="00E876E8">
      <w:pPr>
        <w:pStyle w:val="Notedebasdepage"/>
      </w:pPr>
      <w:r w:rsidRPr="00E876E8">
        <w:rPr>
          <w:rStyle w:val="Appelnotedebasdep"/>
          <w:sz w:val="18"/>
          <w:szCs w:val="18"/>
        </w:rPr>
        <w:footnoteRef/>
      </w:r>
      <w:r w:rsidRPr="00E876E8">
        <w:rPr>
          <w:sz w:val="18"/>
          <w:szCs w:val="18"/>
        </w:rPr>
        <w:t xml:space="preserve"> </w:t>
      </w:r>
      <w:r w:rsidRPr="00E876E8">
        <w:rPr>
          <w:sz w:val="18"/>
          <w:szCs w:val="18"/>
        </w:rPr>
        <w:fldChar w:fldCharType="begin"/>
      </w:r>
      <w:r w:rsidRPr="00E876E8">
        <w:rPr>
          <w:sz w:val="18"/>
          <w:szCs w:val="18"/>
        </w:rPr>
        <w:instrText xml:space="preserve"> ADDIN ZOTERO_ITEM CSL_CITATION {"citationID":"afhjvZxg","properties":{"formattedCitation":"\\uc0\\u201{}ric Dugas, \\uc0\\u171{}\\uc0\\u160{}Pourquoi passer de l\\uc0\\u8217{}inclusion \\uc0\\u224{} l\\uc0\\u8217{}inclusivit\\uc0\\u233{}\\uc0\\u160{}\\uc0\\u187{}, The Conversation, 2022, https://theconversation.com/debat-pourquoi-passer-de-linclusion-a-linclusivite-175373.","plainCitation":"Éric Dugas, « Pourquoi passer de l’inclusion à l’inclusivité », The Conversation, 2022, https://theconversation.com/debat-pourquoi-passer-de-linclusion-a-linclusivite-175373.","noteIndex":5},"citationItems":[{"id":5359,"uris":["http://zotero.org/groups/5783360/items/IYV3NK78"],"itemData":{"id":5359,"type":"webpage","abstract":"Les personnes en situation de handicap et leur entourage veulent être associés concrètement aux décisions qui les concernent. En ce sens, il importe aussi de changer de vocabulaire.","container-title":"The Conversation","title":"Pourquoi passer de l’inclusion à l’inclusivité","URL":"https://theconversation.com/debat-pourquoi-passer-de-linclusion-a-linclusivite-175373","author":[{"family":"Dugas","given":"Éric"}],"issued":{"date-parts":[["2022"]]}}}],"schema":"https://github.com/citation-style-language/schema/raw/master/csl-citation.json"} </w:instrText>
      </w:r>
      <w:r w:rsidRPr="00E876E8">
        <w:rPr>
          <w:sz w:val="18"/>
          <w:szCs w:val="18"/>
        </w:rPr>
        <w:fldChar w:fldCharType="separate"/>
      </w:r>
      <w:r w:rsidRPr="00E876E8">
        <w:rPr>
          <w:rFonts w:ascii="Calibri" w:hAnsi="Calibri" w:cs="Calibri"/>
          <w:sz w:val="18"/>
          <w:szCs w:val="18"/>
        </w:rPr>
        <w:t>Éric Dugas, « Pourquoi passer de l’inclusion à l’inclusivité », The Conversation, 2022, https://theconversation.com/debat-pourquoi-passer-de-linclusion-a-linclusivite-175373.</w:t>
      </w:r>
      <w:r w:rsidRPr="00E876E8">
        <w:rPr>
          <w:sz w:val="18"/>
          <w:szCs w:val="18"/>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9F306" w14:textId="23A79920" w:rsidR="006D302A" w:rsidRPr="0061073F" w:rsidRDefault="003F0795" w:rsidP="00174230">
    <w:pPr>
      <w:pStyle w:val="Titre2"/>
      <w:pBdr>
        <w:bottom w:val="single" w:sz="4" w:space="1" w:color="970D34"/>
      </w:pBdr>
      <w:rPr>
        <w:rFonts w:ascii="Lucida Sans" w:hAnsi="Lucida Sans"/>
      </w:rPr>
    </w:pPr>
    <w:r>
      <w:rPr>
        <w:rFonts w:ascii="Lucida Sans" w:hAnsi="Lucida Sans"/>
        <w:noProof/>
      </w:rPr>
      <w:drawing>
        <wp:inline distT="0" distB="0" distL="0" distR="0" wp14:anchorId="6FAA196C" wp14:editId="20109A0A">
          <wp:extent cx="738781" cy="495300"/>
          <wp:effectExtent l="0" t="0" r="4445" b="0"/>
          <wp:docPr id="1" name="Image 1" descr="Une image contenant symbole, Graphique, Caractère coloré,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symbole, Graphique, Caractère coloré, conception&#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745124" cy="499553"/>
                  </a:xfrm>
                  <a:prstGeom prst="rect">
                    <a:avLst/>
                  </a:prstGeom>
                </pic:spPr>
              </pic:pic>
            </a:graphicData>
          </a:graphic>
        </wp:inline>
      </w:drawing>
    </w:r>
    <w:r>
      <w:rPr>
        <w:rFonts w:ascii="Lucida Sans" w:hAnsi="Lucida Sans"/>
      </w:rPr>
      <w:br/>
    </w:r>
    <w:proofErr w:type="spellStart"/>
    <w:r w:rsidR="0061073F" w:rsidRPr="0061073F">
      <w:rPr>
        <w:rFonts w:ascii="Lucida Sans" w:hAnsi="Lucida Sans"/>
      </w:rPr>
      <w:t>Doc’Camp</w:t>
    </w:r>
    <w:proofErr w:type="spellEnd"/>
    <w:r w:rsidR="0061073F" w:rsidRPr="0061073F">
      <w:rPr>
        <w:rFonts w:ascii="Lucida Sans" w:hAnsi="Lucida Sans"/>
      </w:rPr>
      <w:t xml:space="preserve"> 2025 – </w:t>
    </w:r>
    <w:r w:rsidR="0083400F">
      <w:rPr>
        <w:rFonts w:ascii="Lucida Sans" w:hAnsi="Lucida Sans"/>
      </w:rPr>
      <w:t>A</w:t>
    </w:r>
    <w:r w:rsidR="0061073F" w:rsidRPr="0061073F">
      <w:rPr>
        <w:rFonts w:ascii="Lucida Sans" w:hAnsi="Lucida Sans"/>
      </w:rPr>
      <w:t>telier « Politique documentaire et inclusivité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5F7B72"/>
    <w:multiLevelType w:val="hybridMultilevel"/>
    <w:tmpl w:val="5B44C92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AF524ED"/>
    <w:multiLevelType w:val="hybridMultilevel"/>
    <w:tmpl w:val="9886C9E2"/>
    <w:lvl w:ilvl="0" w:tplc="801E5C74">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5FD36E9"/>
    <w:multiLevelType w:val="hybridMultilevel"/>
    <w:tmpl w:val="78385BD4"/>
    <w:lvl w:ilvl="0" w:tplc="5FF255A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28507AC"/>
    <w:multiLevelType w:val="hybridMultilevel"/>
    <w:tmpl w:val="95066CC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553084882">
    <w:abstractNumId w:val="3"/>
  </w:num>
  <w:num w:numId="2" w16cid:durableId="486216435">
    <w:abstractNumId w:val="0"/>
  </w:num>
  <w:num w:numId="3" w16cid:durableId="1109817412">
    <w:abstractNumId w:val="1"/>
  </w:num>
  <w:num w:numId="4" w16cid:durableId="6847861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B83"/>
    <w:rsid w:val="000103AC"/>
    <w:rsid w:val="0003773E"/>
    <w:rsid w:val="00066D4F"/>
    <w:rsid w:val="000716C7"/>
    <w:rsid w:val="000B1858"/>
    <w:rsid w:val="000C38B1"/>
    <w:rsid w:val="000D0B83"/>
    <w:rsid w:val="000E06E2"/>
    <w:rsid w:val="000F1526"/>
    <w:rsid w:val="00130B13"/>
    <w:rsid w:val="00174230"/>
    <w:rsid w:val="00193F5E"/>
    <w:rsid w:val="001B29AF"/>
    <w:rsid w:val="001B748F"/>
    <w:rsid w:val="001C3C5A"/>
    <w:rsid w:val="001E37E8"/>
    <w:rsid w:val="00232DCF"/>
    <w:rsid w:val="00235983"/>
    <w:rsid w:val="00237DA1"/>
    <w:rsid w:val="00264B51"/>
    <w:rsid w:val="00267822"/>
    <w:rsid w:val="00270378"/>
    <w:rsid w:val="00275E46"/>
    <w:rsid w:val="002925FD"/>
    <w:rsid w:val="002D5EAC"/>
    <w:rsid w:val="002D6CEE"/>
    <w:rsid w:val="0036244B"/>
    <w:rsid w:val="003737AF"/>
    <w:rsid w:val="003A4DD0"/>
    <w:rsid w:val="003A4F92"/>
    <w:rsid w:val="003A5D87"/>
    <w:rsid w:val="003B5BE2"/>
    <w:rsid w:val="003D0294"/>
    <w:rsid w:val="003E2D7A"/>
    <w:rsid w:val="003F0795"/>
    <w:rsid w:val="00414785"/>
    <w:rsid w:val="004215D9"/>
    <w:rsid w:val="004241AE"/>
    <w:rsid w:val="004659A7"/>
    <w:rsid w:val="004E5C88"/>
    <w:rsid w:val="004F7119"/>
    <w:rsid w:val="00507FF8"/>
    <w:rsid w:val="00516259"/>
    <w:rsid w:val="00556A47"/>
    <w:rsid w:val="00571737"/>
    <w:rsid w:val="00597B22"/>
    <w:rsid w:val="005B7F80"/>
    <w:rsid w:val="006022AF"/>
    <w:rsid w:val="0061073F"/>
    <w:rsid w:val="0063140B"/>
    <w:rsid w:val="00633BA3"/>
    <w:rsid w:val="006544BB"/>
    <w:rsid w:val="00661E4F"/>
    <w:rsid w:val="00681091"/>
    <w:rsid w:val="006D302A"/>
    <w:rsid w:val="006E4905"/>
    <w:rsid w:val="006F0A08"/>
    <w:rsid w:val="00701244"/>
    <w:rsid w:val="00734456"/>
    <w:rsid w:val="00756E3D"/>
    <w:rsid w:val="00774C61"/>
    <w:rsid w:val="00792551"/>
    <w:rsid w:val="00796C7F"/>
    <w:rsid w:val="0083400F"/>
    <w:rsid w:val="00846CD2"/>
    <w:rsid w:val="00877BAE"/>
    <w:rsid w:val="008A70DC"/>
    <w:rsid w:val="008B6BD2"/>
    <w:rsid w:val="008E34C3"/>
    <w:rsid w:val="00905234"/>
    <w:rsid w:val="00920292"/>
    <w:rsid w:val="009306C8"/>
    <w:rsid w:val="00956692"/>
    <w:rsid w:val="00983E62"/>
    <w:rsid w:val="009A6D69"/>
    <w:rsid w:val="00A139A1"/>
    <w:rsid w:val="00A32C08"/>
    <w:rsid w:val="00A517EC"/>
    <w:rsid w:val="00A63BB8"/>
    <w:rsid w:val="00A810BA"/>
    <w:rsid w:val="00A95243"/>
    <w:rsid w:val="00AD3D94"/>
    <w:rsid w:val="00AF0A4B"/>
    <w:rsid w:val="00AF3C2A"/>
    <w:rsid w:val="00B131AF"/>
    <w:rsid w:val="00B27B61"/>
    <w:rsid w:val="00B3006E"/>
    <w:rsid w:val="00B31297"/>
    <w:rsid w:val="00B33574"/>
    <w:rsid w:val="00B41547"/>
    <w:rsid w:val="00B47EA3"/>
    <w:rsid w:val="00B76806"/>
    <w:rsid w:val="00BA280E"/>
    <w:rsid w:val="00BA5319"/>
    <w:rsid w:val="00BC0210"/>
    <w:rsid w:val="00BC6EFE"/>
    <w:rsid w:val="00BD16CD"/>
    <w:rsid w:val="00C10FA0"/>
    <w:rsid w:val="00C44E14"/>
    <w:rsid w:val="00C508CD"/>
    <w:rsid w:val="00C94A31"/>
    <w:rsid w:val="00D21B04"/>
    <w:rsid w:val="00D6328C"/>
    <w:rsid w:val="00D65977"/>
    <w:rsid w:val="00D829BB"/>
    <w:rsid w:val="00D958A2"/>
    <w:rsid w:val="00DD2166"/>
    <w:rsid w:val="00DE7E18"/>
    <w:rsid w:val="00E138F3"/>
    <w:rsid w:val="00E45BE0"/>
    <w:rsid w:val="00E6038D"/>
    <w:rsid w:val="00E876E8"/>
    <w:rsid w:val="00EB56D4"/>
    <w:rsid w:val="00F051E2"/>
    <w:rsid w:val="00F7713C"/>
    <w:rsid w:val="00FA1CEA"/>
    <w:rsid w:val="00FB6C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694AF"/>
  <w15:chartTrackingRefBased/>
  <w15:docId w15:val="{E7C0D526-7D89-46E3-9331-D42FCCA00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378"/>
  </w:style>
  <w:style w:type="paragraph" w:styleId="Titre1">
    <w:name w:val="heading 1"/>
    <w:basedOn w:val="Normal"/>
    <w:next w:val="Normal"/>
    <w:link w:val="Titre1Car"/>
    <w:uiPriority w:val="9"/>
    <w:qFormat/>
    <w:rsid w:val="00C44E14"/>
    <w:pPr>
      <w:keepNext/>
      <w:keepLines/>
      <w:spacing w:before="240" w:after="0"/>
      <w:outlineLvl w:val="0"/>
    </w:pPr>
    <w:rPr>
      <w:rFonts w:ascii="Futura" w:eastAsiaTheme="majorEastAsia" w:hAnsi="Futura" w:cstheme="majorBidi"/>
      <w:color w:val="970D34"/>
      <w:sz w:val="32"/>
      <w:szCs w:val="32"/>
    </w:rPr>
  </w:style>
  <w:style w:type="paragraph" w:styleId="Titre2">
    <w:name w:val="heading 2"/>
    <w:basedOn w:val="Normal"/>
    <w:next w:val="Normal"/>
    <w:link w:val="Titre2Car"/>
    <w:uiPriority w:val="9"/>
    <w:unhideWhenUsed/>
    <w:qFormat/>
    <w:rsid w:val="008B6BD2"/>
    <w:pPr>
      <w:keepNext/>
      <w:keepLines/>
      <w:spacing w:before="40" w:after="0"/>
      <w:outlineLvl w:val="1"/>
    </w:pPr>
    <w:rPr>
      <w:rFonts w:ascii="Futura" w:eastAsiaTheme="majorEastAsia" w:hAnsi="Futura" w:cstheme="majorBidi"/>
      <w:color w:val="970D34"/>
      <w:sz w:val="26"/>
      <w:szCs w:val="26"/>
    </w:rPr>
  </w:style>
  <w:style w:type="paragraph" w:styleId="Titre3">
    <w:name w:val="heading 3"/>
    <w:basedOn w:val="Normal"/>
    <w:next w:val="Normal"/>
    <w:link w:val="Titre3Car"/>
    <w:uiPriority w:val="9"/>
    <w:unhideWhenUsed/>
    <w:qFormat/>
    <w:rsid w:val="008B6BD2"/>
    <w:pPr>
      <w:keepNext/>
      <w:keepLines/>
      <w:spacing w:before="40" w:after="0"/>
      <w:outlineLvl w:val="2"/>
    </w:pPr>
    <w:rPr>
      <w:rFonts w:ascii="Futura" w:eastAsiaTheme="majorEastAsia" w:hAnsi="Futura" w:cstheme="majorBidi"/>
      <w:color w:val="970D34"/>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D0B83"/>
    <w:rPr>
      <w:color w:val="0563C1" w:themeColor="hyperlink"/>
      <w:u w:val="single"/>
    </w:rPr>
  </w:style>
  <w:style w:type="character" w:styleId="Mentionnonrsolue">
    <w:name w:val="Unresolved Mention"/>
    <w:basedOn w:val="Policepardfaut"/>
    <w:uiPriority w:val="99"/>
    <w:semiHidden/>
    <w:unhideWhenUsed/>
    <w:rsid w:val="000D0B83"/>
    <w:rPr>
      <w:color w:val="605E5C"/>
      <w:shd w:val="clear" w:color="auto" w:fill="E1DFDD"/>
    </w:rPr>
  </w:style>
  <w:style w:type="paragraph" w:styleId="Paragraphedeliste">
    <w:name w:val="List Paragraph"/>
    <w:basedOn w:val="Normal"/>
    <w:uiPriority w:val="34"/>
    <w:qFormat/>
    <w:rsid w:val="0003773E"/>
    <w:pPr>
      <w:ind w:left="720"/>
      <w:contextualSpacing/>
    </w:pPr>
  </w:style>
  <w:style w:type="character" w:customStyle="1" w:styleId="Titre2Car">
    <w:name w:val="Titre 2 Car"/>
    <w:basedOn w:val="Policepardfaut"/>
    <w:link w:val="Titre2"/>
    <w:uiPriority w:val="9"/>
    <w:rsid w:val="008B6BD2"/>
    <w:rPr>
      <w:rFonts w:ascii="Futura" w:eastAsiaTheme="majorEastAsia" w:hAnsi="Futura" w:cstheme="majorBidi"/>
      <w:color w:val="970D34"/>
      <w:sz w:val="26"/>
      <w:szCs w:val="26"/>
    </w:rPr>
  </w:style>
  <w:style w:type="character" w:customStyle="1" w:styleId="Titre3Car">
    <w:name w:val="Titre 3 Car"/>
    <w:basedOn w:val="Policepardfaut"/>
    <w:link w:val="Titre3"/>
    <w:uiPriority w:val="9"/>
    <w:rsid w:val="008B6BD2"/>
    <w:rPr>
      <w:rFonts w:ascii="Futura" w:eastAsiaTheme="majorEastAsia" w:hAnsi="Futura" w:cstheme="majorBidi"/>
      <w:color w:val="970D34"/>
      <w:sz w:val="24"/>
      <w:szCs w:val="24"/>
    </w:rPr>
  </w:style>
  <w:style w:type="character" w:customStyle="1" w:styleId="Titre1Car">
    <w:name w:val="Titre 1 Car"/>
    <w:basedOn w:val="Policepardfaut"/>
    <w:link w:val="Titre1"/>
    <w:uiPriority w:val="9"/>
    <w:rsid w:val="00C44E14"/>
    <w:rPr>
      <w:rFonts w:ascii="Futura" w:eastAsiaTheme="majorEastAsia" w:hAnsi="Futura" w:cstheme="majorBidi"/>
      <w:color w:val="970D34"/>
      <w:sz w:val="32"/>
      <w:szCs w:val="32"/>
    </w:rPr>
  </w:style>
  <w:style w:type="paragraph" w:styleId="En-tte">
    <w:name w:val="header"/>
    <w:basedOn w:val="Normal"/>
    <w:link w:val="En-tteCar"/>
    <w:uiPriority w:val="99"/>
    <w:unhideWhenUsed/>
    <w:rsid w:val="006D302A"/>
    <w:pPr>
      <w:tabs>
        <w:tab w:val="center" w:pos="4536"/>
        <w:tab w:val="right" w:pos="9072"/>
      </w:tabs>
      <w:spacing w:after="0" w:line="240" w:lineRule="auto"/>
    </w:pPr>
  </w:style>
  <w:style w:type="character" w:customStyle="1" w:styleId="En-tteCar">
    <w:name w:val="En-tête Car"/>
    <w:basedOn w:val="Policepardfaut"/>
    <w:link w:val="En-tte"/>
    <w:uiPriority w:val="99"/>
    <w:rsid w:val="006D302A"/>
  </w:style>
  <w:style w:type="paragraph" w:styleId="Pieddepage">
    <w:name w:val="footer"/>
    <w:basedOn w:val="Normal"/>
    <w:link w:val="PieddepageCar"/>
    <w:uiPriority w:val="99"/>
    <w:unhideWhenUsed/>
    <w:rsid w:val="006D302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D302A"/>
  </w:style>
  <w:style w:type="character" w:styleId="Marquedecommentaire">
    <w:name w:val="annotation reference"/>
    <w:basedOn w:val="Policepardfaut"/>
    <w:uiPriority w:val="99"/>
    <w:semiHidden/>
    <w:unhideWhenUsed/>
    <w:rsid w:val="00571737"/>
    <w:rPr>
      <w:sz w:val="16"/>
      <w:szCs w:val="16"/>
    </w:rPr>
  </w:style>
  <w:style w:type="paragraph" w:styleId="Commentaire">
    <w:name w:val="annotation text"/>
    <w:basedOn w:val="Normal"/>
    <w:link w:val="CommentaireCar"/>
    <w:uiPriority w:val="99"/>
    <w:semiHidden/>
    <w:unhideWhenUsed/>
    <w:rsid w:val="00571737"/>
    <w:pPr>
      <w:spacing w:line="240" w:lineRule="auto"/>
    </w:pPr>
    <w:rPr>
      <w:sz w:val="20"/>
      <w:szCs w:val="20"/>
    </w:rPr>
  </w:style>
  <w:style w:type="character" w:customStyle="1" w:styleId="CommentaireCar">
    <w:name w:val="Commentaire Car"/>
    <w:basedOn w:val="Policepardfaut"/>
    <w:link w:val="Commentaire"/>
    <w:uiPriority w:val="99"/>
    <w:semiHidden/>
    <w:rsid w:val="00571737"/>
    <w:rPr>
      <w:sz w:val="20"/>
      <w:szCs w:val="20"/>
    </w:rPr>
  </w:style>
  <w:style w:type="paragraph" w:styleId="Objetducommentaire">
    <w:name w:val="annotation subject"/>
    <w:basedOn w:val="Commentaire"/>
    <w:next w:val="Commentaire"/>
    <w:link w:val="ObjetducommentaireCar"/>
    <w:uiPriority w:val="99"/>
    <w:semiHidden/>
    <w:unhideWhenUsed/>
    <w:rsid w:val="00571737"/>
    <w:rPr>
      <w:b/>
      <w:bCs/>
    </w:rPr>
  </w:style>
  <w:style w:type="character" w:customStyle="1" w:styleId="ObjetducommentaireCar">
    <w:name w:val="Objet du commentaire Car"/>
    <w:basedOn w:val="CommentaireCar"/>
    <w:link w:val="Objetducommentaire"/>
    <w:uiPriority w:val="99"/>
    <w:semiHidden/>
    <w:rsid w:val="00571737"/>
    <w:rPr>
      <w:b/>
      <w:bCs/>
      <w:sz w:val="20"/>
      <w:szCs w:val="20"/>
    </w:rPr>
  </w:style>
  <w:style w:type="character" w:styleId="Lienhypertextesuivivisit">
    <w:name w:val="FollowedHyperlink"/>
    <w:basedOn w:val="Policepardfaut"/>
    <w:uiPriority w:val="99"/>
    <w:semiHidden/>
    <w:unhideWhenUsed/>
    <w:rsid w:val="00A810BA"/>
    <w:rPr>
      <w:color w:val="954F72" w:themeColor="followedHyperlink"/>
      <w:u w:val="single"/>
    </w:rPr>
  </w:style>
  <w:style w:type="character" w:customStyle="1" w:styleId="hgkelc">
    <w:name w:val="hgkelc"/>
    <w:basedOn w:val="Policepardfaut"/>
    <w:rsid w:val="00B33574"/>
  </w:style>
  <w:style w:type="paragraph" w:styleId="Notedebasdepage">
    <w:name w:val="footnote text"/>
    <w:basedOn w:val="Normal"/>
    <w:link w:val="NotedebasdepageCar"/>
    <w:uiPriority w:val="99"/>
    <w:semiHidden/>
    <w:unhideWhenUsed/>
    <w:rsid w:val="00983E6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83E62"/>
    <w:rPr>
      <w:sz w:val="20"/>
      <w:szCs w:val="20"/>
    </w:rPr>
  </w:style>
  <w:style w:type="character" w:styleId="Appelnotedebasdep">
    <w:name w:val="footnote reference"/>
    <w:basedOn w:val="Policepardfaut"/>
    <w:uiPriority w:val="99"/>
    <w:semiHidden/>
    <w:unhideWhenUsed/>
    <w:rsid w:val="00983E6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829</Words>
  <Characters>4563</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Yves GOUBATIAN</dc:creator>
  <cp:keywords/>
  <dc:description/>
  <cp:lastModifiedBy>CLAIRE NGUYEN</cp:lastModifiedBy>
  <cp:revision>2</cp:revision>
  <dcterms:created xsi:type="dcterms:W3CDTF">2026-01-30T10:50:00Z</dcterms:created>
  <dcterms:modified xsi:type="dcterms:W3CDTF">2026-01-30T10:50:00Z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zotero-version="7.0.10"&gt;&lt;session id="7LAS1XbA"/&gt;&lt;style id="http://www.zotero.org/styles/chicago-notes-bibliography" locale="fr-FR" hasBibliography="1" bibliographyStyleHasBeenSet="0"/&gt;&lt;prefs&gt;&lt;pref name="fieldType" value="Field"/&gt;&lt;pr</vt:lpwstr>
  </property>
  <property fmtid="{D5CDD505-2E9C-101B-9397-08002B2CF9AE}" pid="3" name="ZOTERO_PREF_2">
    <vt:lpwstr>ef name="noteType" value="1"/&gt;&lt;/prefs&gt;&lt;/data&gt;</vt:lpwstr>
  </property>
</Properties>
</file>