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03EAC" w14:textId="42E71C97" w:rsidR="006F1C49" w:rsidRPr="00145F56" w:rsidRDefault="008222B1" w:rsidP="005B4C5B">
      <w:pPr>
        <w:pStyle w:val="Standard"/>
        <w:jc w:val="right"/>
        <w:rPr>
          <w:b/>
          <w:bCs/>
        </w:rPr>
      </w:pPr>
      <w:r w:rsidRPr="003E5888">
        <w:rPr>
          <w:noProof/>
          <w:lang w:eastAsia="fr-FR" w:bidi="ar-SA"/>
        </w:rPr>
        <w:drawing>
          <wp:inline distT="0" distB="0" distL="0" distR="0" wp14:anchorId="3CF92CEA" wp14:editId="3E3CEE57">
            <wp:extent cx="961587" cy="63962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61587" cy="639629"/>
                    </a:xfrm>
                    <a:prstGeom prst="rect">
                      <a:avLst/>
                    </a:prstGeom>
                  </pic:spPr>
                </pic:pic>
              </a:graphicData>
            </a:graphic>
          </wp:inline>
        </w:drawing>
      </w:r>
      <w:r>
        <w:rPr>
          <w:b/>
          <w:bCs/>
        </w:rPr>
        <w:t xml:space="preserve">                                                                               </w:t>
      </w:r>
      <w:r w:rsidR="0063642B" w:rsidRPr="00145F56">
        <w:rPr>
          <w:b/>
          <w:bCs/>
        </w:rPr>
        <w:t>Fiche pratique GT poldoc ADBU</w:t>
      </w:r>
    </w:p>
    <w:p w14:paraId="718242C3" w14:textId="77391B61" w:rsidR="005B4C5B" w:rsidRPr="00145F56" w:rsidRDefault="00247440" w:rsidP="005B4C5B">
      <w:pPr>
        <w:pStyle w:val="Standard"/>
        <w:jc w:val="right"/>
        <w:rPr>
          <w:b/>
          <w:bCs/>
        </w:rPr>
      </w:pPr>
      <w:r w:rsidRPr="00145F56">
        <w:rPr>
          <w:b/>
          <w:bCs/>
          <w:noProof/>
          <w:lang w:eastAsia="fr-FR" w:bidi="ar-SA"/>
        </w:rPr>
        <mc:AlternateContent>
          <mc:Choice Requires="wps">
            <w:drawing>
              <wp:anchor distT="0" distB="0" distL="114300" distR="114300" simplePos="0" relativeHeight="251658240" behindDoc="0" locked="0" layoutInCell="1" allowOverlap="1" wp14:anchorId="63C0BB23" wp14:editId="2872C7C7">
                <wp:simplePos x="0" y="0"/>
                <wp:positionH relativeFrom="margin">
                  <wp:align>left</wp:align>
                </wp:positionH>
                <wp:positionV relativeFrom="paragraph">
                  <wp:posOffset>142875</wp:posOffset>
                </wp:positionV>
                <wp:extent cx="6343650" cy="876300"/>
                <wp:effectExtent l="0" t="0" r="19050" b="19050"/>
                <wp:wrapNone/>
                <wp:docPr id="774077587" name="Forme 1"/>
                <wp:cNvGraphicFramePr/>
                <a:graphic xmlns:a="http://schemas.openxmlformats.org/drawingml/2006/main">
                  <a:graphicData uri="http://schemas.microsoft.com/office/word/2010/wordprocessingShape">
                    <wps:wsp>
                      <wps:cNvSpPr/>
                      <wps:spPr>
                        <a:xfrm>
                          <a:off x="0" y="0"/>
                          <a:ext cx="6343650" cy="876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0" cap="flat">
                          <a:solidFill>
                            <a:srgbClr val="000000"/>
                          </a:solidFill>
                          <a:prstDash val="solid"/>
                          <a:miter/>
                        </a:ln>
                      </wps:spPr>
                      <wps:txbx>
                        <w:txbxContent>
                          <w:p w14:paraId="0EB637F0" w14:textId="2BF04A99" w:rsidR="006F1C49" w:rsidRPr="00145F56" w:rsidRDefault="0058243F" w:rsidP="00AF7EDB">
                            <w:pPr>
                              <w:jc w:val="center"/>
                              <w:rPr>
                                <w:rFonts w:ascii="Arial Black" w:hAnsi="Arial Black"/>
                                <w:b/>
                                <w:bCs/>
                                <w:color w:val="BE480A"/>
                                <w:sz w:val="22"/>
                                <w:szCs w:val="22"/>
                              </w:rPr>
                            </w:pPr>
                            <w:r w:rsidRPr="00145F56">
                              <w:rPr>
                                <w:rFonts w:ascii="Arial Black" w:hAnsi="Arial Black"/>
                                <w:b/>
                                <w:bCs/>
                                <w:color w:val="BE480A"/>
                                <w:sz w:val="22"/>
                                <w:szCs w:val="22"/>
                              </w:rPr>
                              <w:t xml:space="preserve">Science ouverte et collections : quelle articulation avec la politique documentaire ? </w:t>
                            </w:r>
                          </w:p>
                        </w:txbxContent>
                      </wps:txbx>
                      <wps:bodyPr vert="horz" wrap="square" lIns="722" tIns="722" rIns="722" bIns="722" anchor="ctr" anchorCtr="0" compatLnSpc="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shape w14:anchorId="63C0BB23" id="Forme 1" o:spid="_x0000_s1026" style="position:absolute;left:0;text-align:left;margin-left:0;margin-top:11.25pt;width:499.5pt;height:6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" adj="-11796480,,5400" path="m,l21600,r,21600l,21600,,xe" strokeweight="0">
                <v:stroke joinstyle="miter"/>
                <v:formulas/>
                <v:path arrowok="t" o:connecttype="custom" o:connectlocs="3171825,0;6343650,438150;3171825,876300;0,438150" o:connectangles="270,0,90,180" textboxrect="0,0,21600,21600"/>
                <v:textbox inset=".02006mm,.02006mm,.02006mm,.02006mm">
                  <w:txbxContent>
                    <w:p w14:paraId="0EB637F0" w14:textId="2BF04A99" w:rsidR="006F1C49" w:rsidRPr="00145F56" w:rsidRDefault="0058243F" w:rsidP="00AF7EDB">
                      <w:pPr>
                        <w:jc w:val="center"/>
                        <w:rPr>
                          <w:rFonts w:ascii="Arial Black" w:hAnsi="Arial Black"/>
                          <w:b/>
                          <w:bCs/>
                          <w:color w:val="BE480A"/>
                          <w:sz w:val="22"/>
                          <w:szCs w:val="22"/>
                        </w:rPr>
                      </w:pPr>
                      <w:r w:rsidRPr="00145F56">
                        <w:rPr>
                          <w:rFonts w:ascii="Arial Black" w:hAnsi="Arial Black"/>
                          <w:b/>
                          <w:bCs/>
                          <w:color w:val="BE480A"/>
                          <w:sz w:val="22"/>
                          <w:szCs w:val="22"/>
                        </w:rPr>
                        <w:t xml:space="preserve">Science ouverte et collections : quelle articulation avec la politique documentaire ? </w:t>
                      </w:r>
                    </w:p>
                  </w:txbxContent>
                </v:textbox>
                <w10:wrap anchorx="margin"/>
              </v:shape>
            </w:pict>
          </mc:Fallback>
        </mc:AlternateContent>
      </w:r>
    </w:p>
    <w:p w14:paraId="59514C50" w14:textId="7AE67C3D" w:rsidR="006F1C49" w:rsidRPr="00145F56" w:rsidRDefault="006F1C49">
      <w:pPr>
        <w:pStyle w:val="Standard"/>
        <w:jc w:val="center"/>
      </w:pPr>
    </w:p>
    <w:p w14:paraId="7C3D6159" w14:textId="77777777" w:rsidR="006F1C49" w:rsidRPr="00145F56" w:rsidRDefault="006F1C49" w:rsidP="003A74E1">
      <w:pPr>
        <w:jc w:val="both"/>
      </w:pPr>
    </w:p>
    <w:p w14:paraId="78980E58" w14:textId="77777777" w:rsidR="007A3D43" w:rsidRPr="00145F56" w:rsidRDefault="007A3D43" w:rsidP="003A74E1">
      <w:pPr>
        <w:jc w:val="both"/>
      </w:pPr>
    </w:p>
    <w:p w14:paraId="36AFC2ED" w14:textId="77777777" w:rsidR="007A3D43" w:rsidRPr="00145F56" w:rsidRDefault="007A3D43" w:rsidP="003A74E1">
      <w:pPr>
        <w:jc w:val="both"/>
      </w:pPr>
    </w:p>
    <w:p w14:paraId="2BB58418" w14:textId="77777777" w:rsidR="007A3D43" w:rsidRPr="00145F56" w:rsidRDefault="007A3D43" w:rsidP="003A74E1">
      <w:pPr>
        <w:jc w:val="both"/>
      </w:pPr>
    </w:p>
    <w:p w14:paraId="3162093A" w14:textId="77777777" w:rsidR="007A3D43" w:rsidRPr="00145F56" w:rsidRDefault="007A3D43" w:rsidP="003A74E1">
      <w:pPr>
        <w:jc w:val="both"/>
      </w:pPr>
    </w:p>
    <w:tbl>
      <w:tblPr>
        <w:tblW w:w="10060" w:type="dxa"/>
        <w:tblLayout w:type="fixed"/>
        <w:tblCellMar>
          <w:left w:w="10" w:type="dxa"/>
          <w:right w:w="10" w:type="dxa"/>
        </w:tblCellMar>
        <w:tblLook w:val="04A0" w:firstRow="1" w:lastRow="0" w:firstColumn="1" w:lastColumn="0" w:noHBand="0" w:noVBand="1"/>
      </w:tblPr>
      <w:tblGrid>
        <w:gridCol w:w="10060"/>
      </w:tblGrid>
      <w:tr w:rsidR="006F1C49" w:rsidRPr="00145F56" w14:paraId="7084BFDF" w14:textId="77777777" w:rsidTr="0004789C">
        <w:tc>
          <w:tcPr>
            <w:tcW w:w="100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038698" w14:textId="625C232B" w:rsidR="00A51D42" w:rsidRPr="00145F56" w:rsidRDefault="0063642B">
            <w:pPr>
              <w:pStyle w:val="TableContents"/>
              <w:jc w:val="both"/>
              <w:rPr>
                <w:b/>
                <w:bCs/>
                <w:color w:val="BE480A"/>
              </w:rPr>
            </w:pPr>
            <w:r w:rsidRPr="00145F56">
              <w:rPr>
                <w:b/>
                <w:bCs/>
                <w:color w:val="BE480A"/>
              </w:rPr>
              <w:t>Problématique</w:t>
            </w:r>
          </w:p>
          <w:p w14:paraId="56432ACD" w14:textId="4F376606" w:rsidR="001E3352" w:rsidRPr="00145F56" w:rsidRDefault="001E3352">
            <w:pPr>
              <w:pStyle w:val="TableContents"/>
              <w:jc w:val="both"/>
            </w:pPr>
            <w:r w:rsidRPr="00145F56">
              <w:t xml:space="preserve">Au sein du SCD, le département </w:t>
            </w:r>
            <w:r w:rsidR="00E53634" w:rsidRPr="00145F56">
              <w:t>C</w:t>
            </w:r>
            <w:r w:rsidRPr="00145F56">
              <w:t xml:space="preserve">ollections est chargé de la conduite de la politique documentaire et de la gestion du portefeuille de ressources électroniques. Un service à part, le département </w:t>
            </w:r>
            <w:r w:rsidR="00E53634" w:rsidRPr="00145F56">
              <w:t>P</w:t>
            </w:r>
            <w:r w:rsidRPr="00145F56">
              <w:t xml:space="preserve">ublications et </w:t>
            </w:r>
            <w:r w:rsidR="00E53634" w:rsidRPr="00145F56">
              <w:t>O</w:t>
            </w:r>
            <w:r w:rsidRPr="00145F56">
              <w:t xml:space="preserve">pen </w:t>
            </w:r>
            <w:r w:rsidR="00E53634" w:rsidRPr="00145F56">
              <w:t>A</w:t>
            </w:r>
            <w:r w:rsidRPr="00145F56">
              <w:t xml:space="preserve">ccess, est chargé </w:t>
            </w:r>
            <w:r w:rsidR="00E53634" w:rsidRPr="00145F56">
              <w:t>de la mise en œuvre de la politique de science ouverte de l’université et</w:t>
            </w:r>
            <w:r w:rsidRPr="00145F56">
              <w:t xml:space="preserve"> du dépôt des publications dans HAL. </w:t>
            </w:r>
            <w:r w:rsidR="00E53634" w:rsidRPr="00145F56">
              <w:t>Le suivi des APC ainsi que le suivi des demandes de publication au sein des accords transformants sont suivis conjointement par les deux départements.</w:t>
            </w:r>
          </w:p>
          <w:p w14:paraId="23003F9A" w14:textId="77777777" w:rsidR="00DE36D4" w:rsidRPr="00145F56" w:rsidRDefault="00DE36D4">
            <w:pPr>
              <w:pStyle w:val="TableContents"/>
              <w:jc w:val="both"/>
            </w:pPr>
          </w:p>
          <w:p w14:paraId="70185513" w14:textId="3FF5FB04" w:rsidR="00773F77" w:rsidRPr="00145F56" w:rsidRDefault="00DE36D4" w:rsidP="005F51A6">
            <w:pPr>
              <w:pStyle w:val="TableContents"/>
              <w:jc w:val="both"/>
            </w:pPr>
            <w:r w:rsidRPr="00145F56">
              <w:t xml:space="preserve">Comment réussir à mettre en place une stratégie cohérente pour l’établissement, avec une vision budgétaire globale, alors que les questions de l’open access et de la gestion des abonnements aux ressources numériques sont traitées par deux services </w:t>
            </w:r>
            <w:r w:rsidR="00CC428E" w:rsidRPr="00145F56">
              <w:t>distincts</w:t>
            </w:r>
            <w:r w:rsidRPr="00145F56">
              <w:t xml:space="preserve"> ? </w:t>
            </w:r>
            <w:r w:rsidR="00CC428E" w:rsidRPr="00145F56">
              <w:t>Comment assurer la poursuite des orientations politiques choisies en matière de science ouverte dans les décisions prise</w:t>
            </w:r>
            <w:r w:rsidR="004D03D9" w:rsidRPr="00145F56">
              <w:t>s</w:t>
            </w:r>
            <w:r w:rsidR="00CC428E" w:rsidRPr="00145F56">
              <w:t xml:space="preserve"> au quotidien ? </w:t>
            </w:r>
            <w:r w:rsidR="009B3359" w:rsidRPr="00145F56">
              <w:t>Comment décliner ces orientations politiques dans le travail d’acquisition et de gestion documentaire ?</w:t>
            </w:r>
          </w:p>
        </w:tc>
      </w:tr>
      <w:tr w:rsidR="006F1C49" w:rsidRPr="00145F56" w14:paraId="56C04724" w14:textId="77777777" w:rsidTr="0004789C">
        <w:tc>
          <w:tcPr>
            <w:tcW w:w="100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8C969A" w14:textId="25DAAF9B" w:rsidR="00A51D42" w:rsidRPr="00145F56" w:rsidRDefault="0063642B" w:rsidP="00765D35">
            <w:pPr>
              <w:pStyle w:val="TableContents"/>
              <w:jc w:val="both"/>
              <w:rPr>
                <w:b/>
                <w:bCs/>
              </w:rPr>
            </w:pPr>
            <w:r w:rsidRPr="00145F56">
              <w:rPr>
                <w:b/>
                <w:bCs/>
              </w:rPr>
              <w:t>Recommandations</w:t>
            </w:r>
          </w:p>
          <w:p w14:paraId="79C706C7" w14:textId="79821D66" w:rsidR="00542EF0" w:rsidRPr="00145F56" w:rsidRDefault="004D03D9" w:rsidP="00542EF0">
            <w:pPr>
              <w:pStyle w:val="TableContents"/>
              <w:jc w:val="both"/>
              <w:rPr>
                <w:b/>
                <w:bCs/>
              </w:rPr>
            </w:pPr>
            <w:r w:rsidRPr="00145F56">
              <w:rPr>
                <w:b/>
                <w:bCs/>
              </w:rPr>
              <w:t xml:space="preserve">Former les agents du département </w:t>
            </w:r>
            <w:r w:rsidR="00CF0F2D" w:rsidRPr="00145F56">
              <w:rPr>
                <w:b/>
                <w:bCs/>
              </w:rPr>
              <w:t>C</w:t>
            </w:r>
            <w:r w:rsidRPr="00145F56">
              <w:rPr>
                <w:b/>
                <w:bCs/>
              </w:rPr>
              <w:t>ollections à la SO</w:t>
            </w:r>
          </w:p>
          <w:p w14:paraId="7F38FEC3" w14:textId="535B4748" w:rsidR="00542EF0" w:rsidRPr="00145F56" w:rsidRDefault="00542EF0" w:rsidP="00C44912">
            <w:pPr>
              <w:pStyle w:val="TableContents"/>
              <w:numPr>
                <w:ilvl w:val="0"/>
                <w:numId w:val="24"/>
              </w:numPr>
              <w:jc w:val="both"/>
            </w:pPr>
            <w:r w:rsidRPr="00145F56">
              <w:t xml:space="preserve">Construction d’une offre de formation à la SO à destination des agents des bibliothèques, afin de décloisonner les missions « collections » des missions « science ouverte ». </w:t>
            </w:r>
            <w:r w:rsidR="004D03D9" w:rsidRPr="00145F56">
              <w:t xml:space="preserve">Les </w:t>
            </w:r>
            <w:r w:rsidR="00CC428E" w:rsidRPr="00145F56">
              <w:t xml:space="preserve">chargés de collections doivent maîtriser les enjeux de la science ouverte et les pratiques de publications des chercheurs afin de pouvoir les accompagner efficacement. </w:t>
            </w:r>
          </w:p>
          <w:p w14:paraId="2EC816BF" w14:textId="1D8CAC0A" w:rsidR="00542EF0" w:rsidRPr="00145F56" w:rsidRDefault="00542EF0" w:rsidP="00C44912">
            <w:pPr>
              <w:pStyle w:val="TableContents"/>
              <w:numPr>
                <w:ilvl w:val="0"/>
                <w:numId w:val="24"/>
              </w:numPr>
              <w:jc w:val="both"/>
            </w:pPr>
            <w:r w:rsidRPr="00145F56">
              <w:t xml:space="preserve">Cette formation, co-construite entre le département </w:t>
            </w:r>
            <w:r w:rsidR="00E53634" w:rsidRPr="00145F56">
              <w:t>C</w:t>
            </w:r>
            <w:r w:rsidRPr="00145F56">
              <w:t xml:space="preserve">ollections et le département </w:t>
            </w:r>
            <w:r w:rsidR="00E53634" w:rsidRPr="00145F56">
              <w:t>P</w:t>
            </w:r>
            <w:r w:rsidRPr="00145F56">
              <w:t>ublications e</w:t>
            </w:r>
            <w:r w:rsidR="00E53634" w:rsidRPr="00145F56">
              <w:t>t Open Access</w:t>
            </w:r>
            <w:r w:rsidRPr="00145F56">
              <w:t xml:space="preserve">, devra partir de problématiques métiers très concrètes pour remettre la question de la science ouverte au cœur du circuit du document. Par ex : comment signaler les ressources éducatives libres produites par la communauté ?  </w:t>
            </w:r>
          </w:p>
          <w:p w14:paraId="4C64AE48" w14:textId="5C0FBFDF" w:rsidR="00CC428E" w:rsidRPr="00145F56" w:rsidRDefault="004D03D9" w:rsidP="00C44912">
            <w:pPr>
              <w:pStyle w:val="TableContents"/>
              <w:numPr>
                <w:ilvl w:val="0"/>
                <w:numId w:val="24"/>
              </w:numPr>
              <w:jc w:val="both"/>
            </w:pPr>
            <w:r w:rsidRPr="00145F56">
              <w:t xml:space="preserve">Mesurer les marges de progression de la culture professionnelle </w:t>
            </w:r>
            <w:r w:rsidR="00542EF0" w:rsidRPr="00145F56">
              <w:t xml:space="preserve">des agents </w:t>
            </w:r>
            <w:r w:rsidRPr="00145F56">
              <w:t>à l’occasion de bilans</w:t>
            </w:r>
            <w:r w:rsidR="00542EF0" w:rsidRPr="00145F56">
              <w:t xml:space="preserve"> réguliers</w:t>
            </w:r>
            <w:r w:rsidR="00C44912" w:rsidRPr="00145F56">
              <w:t xml:space="preserve"> et/ou dans les entretiens professionnels des agents (objectifs individuels ou de service). </w:t>
            </w:r>
          </w:p>
          <w:p w14:paraId="34CB3D4B" w14:textId="77777777" w:rsidR="00542EF0" w:rsidRPr="00145F56" w:rsidRDefault="00542EF0" w:rsidP="00542EF0">
            <w:pPr>
              <w:pStyle w:val="TableContents"/>
              <w:ind w:left="720"/>
              <w:jc w:val="both"/>
            </w:pPr>
          </w:p>
          <w:p w14:paraId="65881BDB" w14:textId="0A523C5C" w:rsidR="00542EF0" w:rsidRPr="00145F56" w:rsidRDefault="004D03D9" w:rsidP="00542EF0">
            <w:pPr>
              <w:pStyle w:val="TableContents"/>
              <w:jc w:val="both"/>
            </w:pPr>
            <w:r w:rsidRPr="00145F56">
              <w:rPr>
                <w:b/>
                <w:bCs/>
              </w:rPr>
              <w:t xml:space="preserve">Organiser des rencontres régulières entre le département </w:t>
            </w:r>
            <w:r w:rsidR="00E53634" w:rsidRPr="00145F56">
              <w:rPr>
                <w:b/>
                <w:bCs/>
              </w:rPr>
              <w:t>C</w:t>
            </w:r>
            <w:r w:rsidRPr="00145F56">
              <w:rPr>
                <w:b/>
                <w:bCs/>
              </w:rPr>
              <w:t>ollection</w:t>
            </w:r>
            <w:r w:rsidR="00C44912" w:rsidRPr="00145F56">
              <w:rPr>
                <w:b/>
                <w:bCs/>
              </w:rPr>
              <w:t>s</w:t>
            </w:r>
            <w:r w:rsidRPr="00145F56">
              <w:rPr>
                <w:b/>
                <w:bCs/>
              </w:rPr>
              <w:t xml:space="preserve"> et le département </w:t>
            </w:r>
            <w:r w:rsidR="00E53634" w:rsidRPr="00145F56">
              <w:rPr>
                <w:b/>
                <w:bCs/>
              </w:rPr>
              <w:t>Publications et Open Access</w:t>
            </w:r>
          </w:p>
          <w:p w14:paraId="6B1E2581" w14:textId="6F43DD95" w:rsidR="00542EF0" w:rsidRPr="00145F56" w:rsidRDefault="004D03D9" w:rsidP="00C44912">
            <w:pPr>
              <w:pStyle w:val="TableContents"/>
              <w:numPr>
                <w:ilvl w:val="0"/>
                <w:numId w:val="24"/>
              </w:numPr>
              <w:jc w:val="both"/>
            </w:pPr>
            <w:r w:rsidRPr="00145F56">
              <w:t xml:space="preserve">Le </w:t>
            </w:r>
            <w:r w:rsidR="00E53634" w:rsidRPr="00145F56">
              <w:t>département Publications et Open Access</w:t>
            </w:r>
            <w:r w:rsidR="009B3359" w:rsidRPr="00145F56">
              <w:t xml:space="preserve"> est en lien étroit avec les chercheurs</w:t>
            </w:r>
            <w:r w:rsidRPr="00145F56">
              <w:t xml:space="preserve">, </w:t>
            </w:r>
            <w:r w:rsidR="00CF0F2D" w:rsidRPr="00145F56">
              <w:t>mais ses missions sont assez éloignées</w:t>
            </w:r>
            <w:r w:rsidRPr="00145F56">
              <w:t xml:space="preserve"> des </w:t>
            </w:r>
            <w:r w:rsidR="00E53634" w:rsidRPr="00145F56">
              <w:t>acquéreurs</w:t>
            </w:r>
            <w:r w:rsidRPr="00145F56">
              <w:t>. Travailler ensemble</w:t>
            </w:r>
            <w:r w:rsidR="00542EF0" w:rsidRPr="00145F56">
              <w:t xml:space="preserve"> sur les questions budgétaires et la préparation de notes présentant les </w:t>
            </w:r>
            <w:r w:rsidR="00C44912" w:rsidRPr="00145F56">
              <w:t>recommandations en matière de souscription aux accords transformants</w:t>
            </w:r>
            <w:r w:rsidR="00CF0F2D" w:rsidRPr="00145F56">
              <w:t>, de choix d’outils et de soutien à des initiatives de science ouverte…</w:t>
            </w:r>
          </w:p>
          <w:p w14:paraId="025213D9" w14:textId="2DF25463" w:rsidR="00542EF0" w:rsidRPr="00145F56" w:rsidRDefault="00C44912" w:rsidP="00C44912">
            <w:pPr>
              <w:pStyle w:val="TableContents"/>
              <w:numPr>
                <w:ilvl w:val="0"/>
                <w:numId w:val="24"/>
              </w:numPr>
              <w:jc w:val="both"/>
            </w:pPr>
            <w:r w:rsidRPr="00145F56">
              <w:t xml:space="preserve">Travailler conjointement à la définition d’une stratégie science ouverte </w:t>
            </w:r>
            <w:r w:rsidR="00CF0F2D" w:rsidRPr="00145F56">
              <w:t>dans la politique documentaire de l’établissement</w:t>
            </w:r>
            <w:r w:rsidRPr="00145F56">
              <w:t>, afin de disposer d’un fil conducteur pour les réponses aux modalités des futurs accords transformant</w:t>
            </w:r>
            <w:r w:rsidR="009B3359" w:rsidRPr="00145F56">
              <w:t>s</w:t>
            </w:r>
            <w:r w:rsidR="00CF0F2D" w:rsidRPr="00145F56">
              <w:t>, quel que soit le contexte de l’établissement.</w:t>
            </w:r>
          </w:p>
          <w:p w14:paraId="24B05F0B" w14:textId="1998F300" w:rsidR="00C44912" w:rsidRPr="00145F56" w:rsidRDefault="00C44912" w:rsidP="00C44912">
            <w:pPr>
              <w:pStyle w:val="TableContents"/>
              <w:numPr>
                <w:ilvl w:val="0"/>
                <w:numId w:val="24"/>
              </w:numPr>
              <w:jc w:val="both"/>
            </w:pPr>
            <w:r w:rsidRPr="00145F56">
              <w:t xml:space="preserve">Participer aux </w:t>
            </w:r>
            <w:r w:rsidR="000801EE" w:rsidRPr="00145F56">
              <w:t xml:space="preserve">interventions du département </w:t>
            </w:r>
            <w:r w:rsidR="00E53634" w:rsidRPr="00145F56">
              <w:t>Publications et Open Access</w:t>
            </w:r>
            <w:r w:rsidR="000801EE" w:rsidRPr="00145F56">
              <w:t xml:space="preserve"> au sein des laboratoire</w:t>
            </w:r>
            <w:r w:rsidR="00E53634" w:rsidRPr="00145F56">
              <w:t>s</w:t>
            </w:r>
            <w:r w:rsidR="000801EE" w:rsidRPr="00145F56">
              <w:t xml:space="preserve"> de recherche, afin de disposer d’un retour direct des chercheurs sur leur usage des abonnements, BDD et accords APC</w:t>
            </w:r>
            <w:r w:rsidR="00CF0F2D" w:rsidRPr="00145F56">
              <w:t xml:space="preserve"> et d’être mieux identifiés.</w:t>
            </w:r>
          </w:p>
          <w:p w14:paraId="08498401" w14:textId="77777777" w:rsidR="00542EF0" w:rsidRPr="00145F56" w:rsidRDefault="00542EF0" w:rsidP="00542EF0">
            <w:pPr>
              <w:pStyle w:val="TableContents"/>
              <w:jc w:val="both"/>
            </w:pPr>
          </w:p>
          <w:p w14:paraId="70772538" w14:textId="0831D4C4" w:rsidR="00C44912" w:rsidRPr="00145F56" w:rsidRDefault="000801EE" w:rsidP="00C44912">
            <w:pPr>
              <w:pStyle w:val="TableContents"/>
              <w:jc w:val="both"/>
              <w:rPr>
                <w:b/>
                <w:bCs/>
              </w:rPr>
            </w:pPr>
            <w:r w:rsidRPr="00145F56">
              <w:rPr>
                <w:b/>
                <w:bCs/>
              </w:rPr>
              <w:t>Mettre à jour la</w:t>
            </w:r>
            <w:r w:rsidR="00CC5C46" w:rsidRPr="00145F56">
              <w:rPr>
                <w:b/>
                <w:bCs/>
              </w:rPr>
              <w:t xml:space="preserve"> charte </w:t>
            </w:r>
            <w:r w:rsidR="00C44912" w:rsidRPr="00145F56">
              <w:rPr>
                <w:b/>
                <w:bCs/>
              </w:rPr>
              <w:t>documentaire</w:t>
            </w:r>
          </w:p>
          <w:p w14:paraId="6136D841" w14:textId="69946621" w:rsidR="000801EE" w:rsidRPr="00145F56" w:rsidRDefault="000801EE" w:rsidP="000801EE">
            <w:pPr>
              <w:pStyle w:val="TableContents"/>
              <w:numPr>
                <w:ilvl w:val="0"/>
                <w:numId w:val="25"/>
              </w:numPr>
              <w:jc w:val="both"/>
            </w:pPr>
            <w:r w:rsidRPr="00145F56">
              <w:t>I</w:t>
            </w:r>
            <w:r w:rsidR="00CC5C46" w:rsidRPr="00145F56">
              <w:t>ntégrer</w:t>
            </w:r>
            <w:r w:rsidRPr="00145F56">
              <w:t xml:space="preserve"> dans la nouvelle charte documentaire</w:t>
            </w:r>
            <w:r w:rsidR="00CC5C46" w:rsidRPr="00145F56">
              <w:t xml:space="preserve"> la question de la science ouverte</w:t>
            </w:r>
            <w:r w:rsidRPr="00145F56">
              <w:t xml:space="preserve">, en veillant à préciser les </w:t>
            </w:r>
            <w:r w:rsidR="00C44912" w:rsidRPr="00145F56">
              <w:t>enjeux et les objectifs stratégiques définis pour l’établissement</w:t>
            </w:r>
            <w:r w:rsidR="00CC5C46" w:rsidRPr="00145F56">
              <w:t xml:space="preserve">. </w:t>
            </w:r>
          </w:p>
          <w:p w14:paraId="21217648" w14:textId="4F7EEFEA" w:rsidR="00C370FF" w:rsidRPr="00145F56" w:rsidRDefault="00CC5C46" w:rsidP="000801EE">
            <w:pPr>
              <w:pStyle w:val="TableContents"/>
              <w:numPr>
                <w:ilvl w:val="0"/>
                <w:numId w:val="25"/>
              </w:numPr>
              <w:jc w:val="both"/>
            </w:pPr>
            <w:r w:rsidRPr="00145F56">
              <w:t>Les</w:t>
            </w:r>
            <w:r w:rsidR="00C44912" w:rsidRPr="00145F56">
              <w:t xml:space="preserve"> passages relatifs à la science ouverte</w:t>
            </w:r>
            <w:r w:rsidRPr="00145F56">
              <w:t xml:space="preserve"> seront rédigés conjointement par le département </w:t>
            </w:r>
            <w:r w:rsidR="00145F56" w:rsidRPr="00145F56">
              <w:t>C</w:t>
            </w:r>
            <w:r w:rsidRPr="00145F56">
              <w:t xml:space="preserve">ollections et le département </w:t>
            </w:r>
            <w:r w:rsidR="009B3359" w:rsidRPr="00145F56">
              <w:t>P</w:t>
            </w:r>
            <w:r w:rsidRPr="00145F56">
              <w:t xml:space="preserve">ublications </w:t>
            </w:r>
            <w:r w:rsidR="009B3359" w:rsidRPr="00145F56">
              <w:t>et Open</w:t>
            </w:r>
            <w:r w:rsidRPr="00145F56">
              <w:t xml:space="preserve"> </w:t>
            </w:r>
            <w:r w:rsidR="00145F56" w:rsidRPr="00145F56">
              <w:t>A</w:t>
            </w:r>
            <w:r w:rsidRPr="00145F56">
              <w:t xml:space="preserve">ccess. </w:t>
            </w:r>
          </w:p>
          <w:p w14:paraId="204A2027" w14:textId="6E368A65" w:rsidR="00C44912" w:rsidRPr="00145F56" w:rsidRDefault="00CF0F2D" w:rsidP="00C44912">
            <w:pPr>
              <w:pStyle w:val="TableContents"/>
              <w:numPr>
                <w:ilvl w:val="0"/>
                <w:numId w:val="25"/>
              </w:numPr>
              <w:jc w:val="both"/>
            </w:pPr>
            <w:r w:rsidRPr="00145F56">
              <w:lastRenderedPageBreak/>
              <w:t>Imaginer conjointement les déclinaisons des axes dessinés dans la charte dans les activités des acquéreurs</w:t>
            </w:r>
          </w:p>
        </w:tc>
      </w:tr>
      <w:tr w:rsidR="006F1C49" w:rsidRPr="00145F56" w14:paraId="43CFC435" w14:textId="77777777" w:rsidTr="0004789C">
        <w:tc>
          <w:tcPr>
            <w:tcW w:w="100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30A538" w14:textId="3A7101E6" w:rsidR="00E4535B" w:rsidRPr="00145F56" w:rsidRDefault="0063642B" w:rsidP="00E4535B">
            <w:pPr>
              <w:pStyle w:val="TableContents"/>
              <w:jc w:val="both"/>
              <w:rPr>
                <w:b/>
                <w:bCs/>
                <w:color w:val="BE480A"/>
              </w:rPr>
            </w:pPr>
            <w:r w:rsidRPr="00145F56">
              <w:rPr>
                <w:b/>
                <w:bCs/>
                <w:color w:val="BE480A"/>
              </w:rPr>
              <w:lastRenderedPageBreak/>
              <w:t>Moyens (financiers, humains, calendriers, logistique, etc)</w:t>
            </w:r>
          </w:p>
          <w:p w14:paraId="09C716BC" w14:textId="77777777" w:rsidR="009666B8" w:rsidRPr="00145F56" w:rsidRDefault="009666B8" w:rsidP="009666B8">
            <w:pPr>
              <w:pStyle w:val="TableContents"/>
              <w:numPr>
                <w:ilvl w:val="0"/>
                <w:numId w:val="27"/>
              </w:numPr>
              <w:jc w:val="both"/>
            </w:pPr>
            <w:r w:rsidRPr="00145F56">
              <w:t xml:space="preserve">Etablir un calendrier annuel de réunions entre les deux départements. </w:t>
            </w:r>
          </w:p>
          <w:p w14:paraId="68CF65F0" w14:textId="013D73E1" w:rsidR="009666B8" w:rsidRPr="00145F56" w:rsidRDefault="009666B8" w:rsidP="009666B8">
            <w:pPr>
              <w:pStyle w:val="TableContents"/>
              <w:numPr>
                <w:ilvl w:val="0"/>
                <w:numId w:val="27"/>
              </w:numPr>
              <w:jc w:val="both"/>
            </w:pPr>
            <w:r w:rsidRPr="00145F56">
              <w:t>Produire un catalogue de formation à la science ouverte dans le cadre du plan de développement des compétences des agents.</w:t>
            </w:r>
          </w:p>
          <w:p w14:paraId="2C654333" w14:textId="126C3A71" w:rsidR="00C370FF" w:rsidRPr="00145F56" w:rsidRDefault="009666B8" w:rsidP="009666B8">
            <w:pPr>
              <w:pStyle w:val="TableContents"/>
              <w:numPr>
                <w:ilvl w:val="0"/>
                <w:numId w:val="27"/>
              </w:numPr>
              <w:jc w:val="both"/>
            </w:pPr>
            <w:r w:rsidRPr="00145F56">
              <w:t>Monter un groupe de travail pour l’actualisation de la charte documentaire.</w:t>
            </w:r>
          </w:p>
        </w:tc>
      </w:tr>
      <w:tr w:rsidR="006F1C49" w:rsidRPr="00145F56" w14:paraId="778E07AE" w14:textId="77777777" w:rsidTr="0004789C">
        <w:trPr>
          <w:trHeight w:val="429"/>
        </w:trPr>
        <w:tc>
          <w:tcPr>
            <w:tcW w:w="100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D3668F" w14:textId="7A64EBB3" w:rsidR="00F2259A" w:rsidRPr="00145F56" w:rsidRDefault="0063642B">
            <w:pPr>
              <w:pStyle w:val="TableContents"/>
              <w:jc w:val="both"/>
              <w:rPr>
                <w:b/>
                <w:bCs/>
                <w:color w:val="BE480A"/>
              </w:rPr>
            </w:pPr>
            <w:r w:rsidRPr="00145F56">
              <w:rPr>
                <w:b/>
                <w:bCs/>
                <w:color w:val="BE480A"/>
              </w:rPr>
              <w:t>Liens pour approfondir</w:t>
            </w:r>
          </w:p>
          <w:p w14:paraId="2959DD5D" w14:textId="281A55CC" w:rsidR="006F1C49" w:rsidRPr="00145F56" w:rsidRDefault="00AF3FBD">
            <w:pPr>
              <w:pStyle w:val="TableContents"/>
              <w:jc w:val="both"/>
            </w:pPr>
            <w:r w:rsidRPr="00145F56">
              <w:t>Accès à la plateforme Poldoc ADBU</w:t>
            </w:r>
          </w:p>
        </w:tc>
      </w:tr>
    </w:tbl>
    <w:p w14:paraId="57EDDA6D" w14:textId="77777777" w:rsidR="008222B1" w:rsidRDefault="008222B1" w:rsidP="008222B1">
      <w:pPr>
        <w:jc w:val="both"/>
        <w:rPr>
          <w:rFonts w:ascii="Arial" w:hAnsi="Arial" w:cs="Arial"/>
          <w:b/>
          <w:bCs/>
          <w:color w:val="000000"/>
        </w:rPr>
      </w:pPr>
    </w:p>
    <w:p w14:paraId="6C6D9708" w14:textId="5D170A2A" w:rsidR="00AF3FBD" w:rsidRPr="00145F56" w:rsidRDefault="008222B1" w:rsidP="008222B1">
      <w:pPr>
        <w:jc w:val="both"/>
        <w:rPr>
          <w:rFonts w:ascii="Arial" w:hAnsi="Arial" w:cs="Arial"/>
          <w:b/>
          <w:bCs/>
          <w:color w:val="000000"/>
        </w:rPr>
      </w:pPr>
      <w:bookmarkStart w:id="0" w:name="_GoBack"/>
      <w:bookmarkEnd w:id="0"/>
      <w:r w:rsidRPr="003E5888">
        <w:rPr>
          <w:noProof/>
          <w:lang w:eastAsia="fr-FR" w:bidi="ar-SA"/>
        </w:rPr>
        <w:drawing>
          <wp:inline distT="0" distB="0" distL="0" distR="0" wp14:anchorId="63982584" wp14:editId="5EE43508">
            <wp:extent cx="876300" cy="29404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V="1">
                      <a:off x="0" y="0"/>
                      <a:ext cx="961890" cy="322762"/>
                    </a:xfrm>
                    <a:prstGeom prst="rect">
                      <a:avLst/>
                    </a:prstGeom>
                  </pic:spPr>
                </pic:pic>
              </a:graphicData>
            </a:graphic>
          </wp:inline>
        </w:drawing>
      </w:r>
      <w:r>
        <w:rPr>
          <w:rFonts w:ascii="Arial" w:hAnsi="Arial" w:cs="Arial"/>
          <w:b/>
          <w:bCs/>
          <w:color w:val="000000"/>
        </w:rPr>
        <w:t xml:space="preserve">                                                                        </w:t>
      </w:r>
      <w:r w:rsidR="009666B8" w:rsidRPr="00145F56">
        <w:rPr>
          <w:rFonts w:ascii="Arial" w:hAnsi="Arial" w:cs="Arial"/>
          <w:b/>
          <w:bCs/>
          <w:color w:val="000000"/>
        </w:rPr>
        <w:t>6</w:t>
      </w:r>
      <w:r w:rsidR="0058243F" w:rsidRPr="00145F56">
        <w:rPr>
          <w:rFonts w:ascii="Arial" w:hAnsi="Arial" w:cs="Arial"/>
          <w:b/>
          <w:bCs/>
          <w:color w:val="000000"/>
        </w:rPr>
        <w:t xml:space="preserve"> novembre </w:t>
      </w:r>
      <w:r w:rsidR="00AF3FBD" w:rsidRPr="00145F56">
        <w:rPr>
          <w:rFonts w:ascii="Arial" w:hAnsi="Arial" w:cs="Arial"/>
          <w:b/>
          <w:bCs/>
          <w:color w:val="000000"/>
        </w:rPr>
        <w:t xml:space="preserve">2025 – </w:t>
      </w:r>
      <w:r w:rsidR="0058243F" w:rsidRPr="00145F56">
        <w:rPr>
          <w:rFonts w:ascii="Arial" w:hAnsi="Arial" w:cs="Arial"/>
          <w:b/>
          <w:bCs/>
          <w:color w:val="000000"/>
        </w:rPr>
        <w:t>Myriam V</w:t>
      </w:r>
      <w:r w:rsidR="009666B8" w:rsidRPr="00145F56">
        <w:rPr>
          <w:rFonts w:ascii="Arial" w:hAnsi="Arial" w:cs="Arial"/>
          <w:b/>
          <w:bCs/>
          <w:color w:val="000000"/>
        </w:rPr>
        <w:t>ille</w:t>
      </w:r>
    </w:p>
    <w:sectPr w:rsidR="00AF3FBD" w:rsidRPr="00145F56" w:rsidSect="0066455A">
      <w:pgSz w:w="11906" w:h="16838"/>
      <w:pgMar w:top="851"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0AB42" w14:textId="77777777" w:rsidR="00416A48" w:rsidRDefault="00416A48">
      <w:r>
        <w:separator/>
      </w:r>
    </w:p>
  </w:endnote>
  <w:endnote w:type="continuationSeparator" w:id="0">
    <w:p w14:paraId="72360782" w14:textId="77777777" w:rsidR="00416A48" w:rsidRDefault="0041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C46B2" w14:textId="77777777" w:rsidR="00416A48" w:rsidRDefault="00416A48">
      <w:r>
        <w:rPr>
          <w:color w:val="000000"/>
        </w:rPr>
        <w:separator/>
      </w:r>
    </w:p>
  </w:footnote>
  <w:footnote w:type="continuationSeparator" w:id="0">
    <w:p w14:paraId="12C5B2A1" w14:textId="77777777" w:rsidR="00416A48" w:rsidRDefault="00416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028E3"/>
    <w:multiLevelType w:val="hybridMultilevel"/>
    <w:tmpl w:val="841A3FB2"/>
    <w:lvl w:ilvl="0" w:tplc="D0A4D5F4">
      <w:start w:val="16"/>
      <w:numFmt w:val="bullet"/>
      <w:lvlText w:val="-"/>
      <w:lvlJc w:val="left"/>
      <w:pPr>
        <w:ind w:left="720" w:hanging="360"/>
      </w:pPr>
      <w:rPr>
        <w:rFonts w:ascii="Liberation Serif" w:eastAsia="N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985865"/>
    <w:multiLevelType w:val="multilevel"/>
    <w:tmpl w:val="B1C8F61C"/>
    <w:lvl w:ilvl="0">
      <w:numFmt w:val="bullet"/>
      <w:lvlText w:val="-"/>
      <w:lvlJc w:val="left"/>
      <w:pPr>
        <w:ind w:left="720" w:hanging="360"/>
      </w:pPr>
      <w:rPr>
        <w:rFonts w:ascii="Liberation Serif" w:eastAsia="NSimSun" w:hAnsi="Liberation Serif" w:cs="Liberation Seri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B95888"/>
    <w:multiLevelType w:val="hybridMultilevel"/>
    <w:tmpl w:val="7C52E3E0"/>
    <w:lvl w:ilvl="0" w:tplc="95EAA7A2">
      <w:start w:val="1"/>
      <w:numFmt w:val="bullet"/>
      <w:lvlText w:val="-"/>
      <w:lvlJc w:val="left"/>
      <w:pPr>
        <w:ind w:left="720" w:hanging="360"/>
      </w:pPr>
      <w:rPr>
        <w:rFonts w:ascii="Liberation Serif" w:eastAsia="N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4E0E1A"/>
    <w:multiLevelType w:val="hybridMultilevel"/>
    <w:tmpl w:val="64FA2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5225A5"/>
    <w:multiLevelType w:val="multilevel"/>
    <w:tmpl w:val="C24C7CCE"/>
    <w:lvl w:ilvl="0">
      <w:numFmt w:val="bullet"/>
      <w:lvlText w:val=""/>
      <w:lvlJc w:val="left"/>
      <w:pPr>
        <w:ind w:left="720" w:hanging="360"/>
      </w:pPr>
      <w:rPr>
        <w:rFonts w:ascii="Wingdings" w:eastAsia="NSimSun" w:hAnsi="Wingdings" w:cs="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74D3C6D"/>
    <w:multiLevelType w:val="hybridMultilevel"/>
    <w:tmpl w:val="B5482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FA0A30"/>
    <w:multiLevelType w:val="multilevel"/>
    <w:tmpl w:val="2456819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4931DC"/>
    <w:multiLevelType w:val="multilevel"/>
    <w:tmpl w:val="F3824F42"/>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764BB8"/>
    <w:multiLevelType w:val="hybridMultilevel"/>
    <w:tmpl w:val="484C0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826B62"/>
    <w:multiLevelType w:val="multilevel"/>
    <w:tmpl w:val="98CE96AE"/>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005518A"/>
    <w:multiLevelType w:val="hybridMultilevel"/>
    <w:tmpl w:val="179AE2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617E26"/>
    <w:multiLevelType w:val="hybridMultilevel"/>
    <w:tmpl w:val="805857FE"/>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2" w15:restartNumberingAfterBreak="0">
    <w:nsid w:val="50CC6868"/>
    <w:multiLevelType w:val="hybridMultilevel"/>
    <w:tmpl w:val="37AACB00"/>
    <w:lvl w:ilvl="0" w:tplc="95EAA7A2">
      <w:start w:val="1"/>
      <w:numFmt w:val="bullet"/>
      <w:lvlText w:val="-"/>
      <w:lvlJc w:val="left"/>
      <w:pPr>
        <w:ind w:left="720" w:hanging="360"/>
      </w:pPr>
      <w:rPr>
        <w:rFonts w:ascii="Liberation Serif" w:eastAsia="N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547878"/>
    <w:multiLevelType w:val="hybridMultilevel"/>
    <w:tmpl w:val="D3642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6F7251"/>
    <w:multiLevelType w:val="hybridMultilevel"/>
    <w:tmpl w:val="9DE4D670"/>
    <w:lvl w:ilvl="0" w:tplc="95EAA7A2">
      <w:start w:val="1"/>
      <w:numFmt w:val="bullet"/>
      <w:lvlText w:val="-"/>
      <w:lvlJc w:val="left"/>
      <w:pPr>
        <w:ind w:left="720" w:hanging="360"/>
      </w:pPr>
      <w:rPr>
        <w:rFonts w:ascii="Liberation Serif" w:eastAsia="N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947C8E"/>
    <w:multiLevelType w:val="hybridMultilevel"/>
    <w:tmpl w:val="3752C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4466DB"/>
    <w:multiLevelType w:val="hybridMultilevel"/>
    <w:tmpl w:val="FF38B8C4"/>
    <w:lvl w:ilvl="0" w:tplc="D7825784">
      <w:start w:val="8"/>
      <w:numFmt w:val="bullet"/>
      <w:lvlText w:val="-"/>
      <w:lvlJc w:val="left"/>
      <w:pPr>
        <w:ind w:left="360" w:hanging="360"/>
      </w:pPr>
      <w:rPr>
        <w:rFonts w:ascii="Liberation Serif" w:eastAsia="NSimSun" w:hAnsi="Liberation Serif" w:cs="Liberation Serif"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67F67AC"/>
    <w:multiLevelType w:val="hybridMultilevel"/>
    <w:tmpl w:val="5D969A64"/>
    <w:lvl w:ilvl="0" w:tplc="A8CAFB96">
      <w:start w:val="16"/>
      <w:numFmt w:val="bullet"/>
      <w:lvlText w:val="-"/>
      <w:lvlJc w:val="left"/>
      <w:pPr>
        <w:ind w:left="720" w:hanging="360"/>
      </w:pPr>
      <w:rPr>
        <w:rFonts w:ascii="Liberation Serif" w:eastAsia="N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E12328"/>
    <w:multiLevelType w:val="hybridMultilevel"/>
    <w:tmpl w:val="D14609A4"/>
    <w:lvl w:ilvl="0" w:tplc="414C69D2">
      <w:start w:val="6"/>
      <w:numFmt w:val="bullet"/>
      <w:lvlText w:val="-"/>
      <w:lvlJc w:val="left"/>
      <w:pPr>
        <w:ind w:left="360" w:hanging="360"/>
      </w:pPr>
      <w:rPr>
        <w:rFonts w:ascii="Liberation Serif" w:eastAsia="NSimSun" w:hAnsi="Liberation Serif" w:cs="Liberation Serif"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7B13355"/>
    <w:multiLevelType w:val="multilevel"/>
    <w:tmpl w:val="E6DACDEA"/>
    <w:lvl w:ilvl="0">
      <w:numFmt w:val="bullet"/>
      <w:lvlText w:val=""/>
      <w:lvlJc w:val="left"/>
      <w:pPr>
        <w:ind w:left="720" w:hanging="360"/>
      </w:pPr>
      <w:rPr>
        <w:rFonts w:ascii="Wingdings" w:eastAsia="NSimSun" w:hAnsi="Wingdings" w:cs="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D396F6A"/>
    <w:multiLevelType w:val="multilevel"/>
    <w:tmpl w:val="18D89CE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DD66BED"/>
    <w:multiLevelType w:val="multilevel"/>
    <w:tmpl w:val="84AC4480"/>
    <w:styleLink w:val="Aucuneliste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54B0789"/>
    <w:multiLevelType w:val="hybridMultilevel"/>
    <w:tmpl w:val="F51E0414"/>
    <w:lvl w:ilvl="0" w:tplc="414C69D2">
      <w:start w:val="6"/>
      <w:numFmt w:val="bullet"/>
      <w:lvlText w:val="-"/>
      <w:lvlJc w:val="left"/>
      <w:pPr>
        <w:ind w:left="720" w:hanging="360"/>
      </w:pPr>
      <w:rPr>
        <w:rFonts w:ascii="Liberation Serif" w:eastAsia="NSimSun" w:hAnsi="Liberation Serif" w:cs="Liberation Serif"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7419B1"/>
    <w:multiLevelType w:val="hybridMultilevel"/>
    <w:tmpl w:val="97AE7864"/>
    <w:lvl w:ilvl="0" w:tplc="95EAA7A2">
      <w:start w:val="1"/>
      <w:numFmt w:val="bullet"/>
      <w:lvlText w:val="-"/>
      <w:lvlJc w:val="left"/>
      <w:pPr>
        <w:ind w:left="720" w:hanging="360"/>
      </w:pPr>
      <w:rPr>
        <w:rFonts w:ascii="Liberation Serif" w:eastAsia="N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4F51BB"/>
    <w:multiLevelType w:val="hybridMultilevel"/>
    <w:tmpl w:val="81BA2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AB1F96"/>
    <w:multiLevelType w:val="hybridMultilevel"/>
    <w:tmpl w:val="EAE60A90"/>
    <w:lvl w:ilvl="0" w:tplc="95EAA7A2">
      <w:start w:val="1"/>
      <w:numFmt w:val="bullet"/>
      <w:lvlText w:val="-"/>
      <w:lvlJc w:val="left"/>
      <w:pPr>
        <w:ind w:left="720" w:hanging="360"/>
      </w:pPr>
      <w:rPr>
        <w:rFonts w:ascii="Liberation Serif" w:eastAsia="N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A4283C"/>
    <w:multiLevelType w:val="hybridMultilevel"/>
    <w:tmpl w:val="A2FC2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7"/>
  </w:num>
  <w:num w:numId="4">
    <w:abstractNumId w:val="9"/>
  </w:num>
  <w:num w:numId="5">
    <w:abstractNumId w:val="20"/>
  </w:num>
  <w:num w:numId="6">
    <w:abstractNumId w:val="19"/>
  </w:num>
  <w:num w:numId="7">
    <w:abstractNumId w:val="1"/>
  </w:num>
  <w:num w:numId="8">
    <w:abstractNumId w:val="4"/>
  </w:num>
  <w:num w:numId="9">
    <w:abstractNumId w:val="16"/>
  </w:num>
  <w:num w:numId="10">
    <w:abstractNumId w:val="17"/>
  </w:num>
  <w:num w:numId="11">
    <w:abstractNumId w:val="0"/>
  </w:num>
  <w:num w:numId="12">
    <w:abstractNumId w:val="24"/>
  </w:num>
  <w:num w:numId="13">
    <w:abstractNumId w:val="2"/>
  </w:num>
  <w:num w:numId="14">
    <w:abstractNumId w:val="10"/>
  </w:num>
  <w:num w:numId="15">
    <w:abstractNumId w:val="12"/>
  </w:num>
  <w:num w:numId="16">
    <w:abstractNumId w:val="14"/>
  </w:num>
  <w:num w:numId="17">
    <w:abstractNumId w:val="23"/>
  </w:num>
  <w:num w:numId="18">
    <w:abstractNumId w:val="25"/>
  </w:num>
  <w:num w:numId="19">
    <w:abstractNumId w:val="3"/>
  </w:num>
  <w:num w:numId="20">
    <w:abstractNumId w:val="11"/>
  </w:num>
  <w:num w:numId="21">
    <w:abstractNumId w:val="26"/>
  </w:num>
  <w:num w:numId="22">
    <w:abstractNumId w:val="8"/>
  </w:num>
  <w:num w:numId="23">
    <w:abstractNumId w:val="13"/>
  </w:num>
  <w:num w:numId="24">
    <w:abstractNumId w:val="15"/>
  </w:num>
  <w:num w:numId="25">
    <w:abstractNumId w:val="5"/>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49"/>
    <w:rsid w:val="00002EFF"/>
    <w:rsid w:val="00006F7D"/>
    <w:rsid w:val="00012158"/>
    <w:rsid w:val="00021E2F"/>
    <w:rsid w:val="00026CDE"/>
    <w:rsid w:val="00033B49"/>
    <w:rsid w:val="0004789C"/>
    <w:rsid w:val="00053F38"/>
    <w:rsid w:val="00063E0F"/>
    <w:rsid w:val="00063EA2"/>
    <w:rsid w:val="0007417E"/>
    <w:rsid w:val="000801EE"/>
    <w:rsid w:val="000833CD"/>
    <w:rsid w:val="000902CB"/>
    <w:rsid w:val="000924AE"/>
    <w:rsid w:val="0009468C"/>
    <w:rsid w:val="000B5537"/>
    <w:rsid w:val="000C7B72"/>
    <w:rsid w:val="000D06E2"/>
    <w:rsid w:val="000D2963"/>
    <w:rsid w:val="000D5023"/>
    <w:rsid w:val="000D51B5"/>
    <w:rsid w:val="000D600C"/>
    <w:rsid w:val="000D6330"/>
    <w:rsid w:val="000E15E9"/>
    <w:rsid w:val="000E508B"/>
    <w:rsid w:val="000E5EBC"/>
    <w:rsid w:val="000F6A37"/>
    <w:rsid w:val="000F7485"/>
    <w:rsid w:val="001054AE"/>
    <w:rsid w:val="001232DA"/>
    <w:rsid w:val="00126CE0"/>
    <w:rsid w:val="001305A2"/>
    <w:rsid w:val="00145F56"/>
    <w:rsid w:val="001612F0"/>
    <w:rsid w:val="0016168F"/>
    <w:rsid w:val="0016182E"/>
    <w:rsid w:val="00163FE8"/>
    <w:rsid w:val="001915B8"/>
    <w:rsid w:val="001954E3"/>
    <w:rsid w:val="00195EDA"/>
    <w:rsid w:val="001A0C4A"/>
    <w:rsid w:val="001C3C98"/>
    <w:rsid w:val="001D0748"/>
    <w:rsid w:val="001D0945"/>
    <w:rsid w:val="001E1188"/>
    <w:rsid w:val="001E3352"/>
    <w:rsid w:val="001F13A7"/>
    <w:rsid w:val="001F40C5"/>
    <w:rsid w:val="001F5981"/>
    <w:rsid w:val="00200DF2"/>
    <w:rsid w:val="00203EA2"/>
    <w:rsid w:val="002227EC"/>
    <w:rsid w:val="0022691A"/>
    <w:rsid w:val="00233FCA"/>
    <w:rsid w:val="00234924"/>
    <w:rsid w:val="002350B1"/>
    <w:rsid w:val="00237180"/>
    <w:rsid w:val="002402E0"/>
    <w:rsid w:val="00241CEF"/>
    <w:rsid w:val="00243E2E"/>
    <w:rsid w:val="00247440"/>
    <w:rsid w:val="00247828"/>
    <w:rsid w:val="002530CF"/>
    <w:rsid w:val="002562AD"/>
    <w:rsid w:val="002762B8"/>
    <w:rsid w:val="0028431A"/>
    <w:rsid w:val="00292686"/>
    <w:rsid w:val="002B3106"/>
    <w:rsid w:val="002C26B6"/>
    <w:rsid w:val="002C3321"/>
    <w:rsid w:val="002C648A"/>
    <w:rsid w:val="002C6F8F"/>
    <w:rsid w:val="002D44F9"/>
    <w:rsid w:val="002E009C"/>
    <w:rsid w:val="00310BD2"/>
    <w:rsid w:val="0031188A"/>
    <w:rsid w:val="00311C75"/>
    <w:rsid w:val="00320B75"/>
    <w:rsid w:val="00320F28"/>
    <w:rsid w:val="00323387"/>
    <w:rsid w:val="0034765B"/>
    <w:rsid w:val="0035501C"/>
    <w:rsid w:val="00360349"/>
    <w:rsid w:val="00374A48"/>
    <w:rsid w:val="00377B2D"/>
    <w:rsid w:val="00381475"/>
    <w:rsid w:val="003A6BCC"/>
    <w:rsid w:val="003A74E1"/>
    <w:rsid w:val="003C2865"/>
    <w:rsid w:val="003D74DD"/>
    <w:rsid w:val="003E5F23"/>
    <w:rsid w:val="003F12F1"/>
    <w:rsid w:val="00404B71"/>
    <w:rsid w:val="00416A48"/>
    <w:rsid w:val="00425720"/>
    <w:rsid w:val="004348F4"/>
    <w:rsid w:val="004460F6"/>
    <w:rsid w:val="00452DEF"/>
    <w:rsid w:val="00454121"/>
    <w:rsid w:val="00454553"/>
    <w:rsid w:val="0045768C"/>
    <w:rsid w:val="004606CB"/>
    <w:rsid w:val="00472388"/>
    <w:rsid w:val="004754CB"/>
    <w:rsid w:val="00480B79"/>
    <w:rsid w:val="004A2CD9"/>
    <w:rsid w:val="004A2FA1"/>
    <w:rsid w:val="004A37F1"/>
    <w:rsid w:val="004B7519"/>
    <w:rsid w:val="004D03D9"/>
    <w:rsid w:val="004D5ED9"/>
    <w:rsid w:val="004F2F11"/>
    <w:rsid w:val="004F46CE"/>
    <w:rsid w:val="004F46FB"/>
    <w:rsid w:val="004F6795"/>
    <w:rsid w:val="00542EF0"/>
    <w:rsid w:val="00543B5D"/>
    <w:rsid w:val="0055000E"/>
    <w:rsid w:val="00550A28"/>
    <w:rsid w:val="00564D62"/>
    <w:rsid w:val="00565D34"/>
    <w:rsid w:val="0057050E"/>
    <w:rsid w:val="00577BD8"/>
    <w:rsid w:val="0058243F"/>
    <w:rsid w:val="005916FA"/>
    <w:rsid w:val="00594B80"/>
    <w:rsid w:val="00597E07"/>
    <w:rsid w:val="00597E95"/>
    <w:rsid w:val="005A6835"/>
    <w:rsid w:val="005B3A4D"/>
    <w:rsid w:val="005B4C5B"/>
    <w:rsid w:val="005C0C55"/>
    <w:rsid w:val="005D74F1"/>
    <w:rsid w:val="005F51A6"/>
    <w:rsid w:val="00600E20"/>
    <w:rsid w:val="00604F45"/>
    <w:rsid w:val="006073B6"/>
    <w:rsid w:val="006124D5"/>
    <w:rsid w:val="006132F4"/>
    <w:rsid w:val="00613983"/>
    <w:rsid w:val="00614C96"/>
    <w:rsid w:val="006218BE"/>
    <w:rsid w:val="00631CAC"/>
    <w:rsid w:val="0063488C"/>
    <w:rsid w:val="0063642B"/>
    <w:rsid w:val="00640B86"/>
    <w:rsid w:val="00647007"/>
    <w:rsid w:val="00651470"/>
    <w:rsid w:val="0066455A"/>
    <w:rsid w:val="006651E8"/>
    <w:rsid w:val="00670705"/>
    <w:rsid w:val="00674B98"/>
    <w:rsid w:val="00677B3C"/>
    <w:rsid w:val="00677F11"/>
    <w:rsid w:val="0068107D"/>
    <w:rsid w:val="00690D21"/>
    <w:rsid w:val="006A433B"/>
    <w:rsid w:val="006B05CD"/>
    <w:rsid w:val="006B16C6"/>
    <w:rsid w:val="006B2284"/>
    <w:rsid w:val="006B564A"/>
    <w:rsid w:val="006B7420"/>
    <w:rsid w:val="006F0EB9"/>
    <w:rsid w:val="006F1C49"/>
    <w:rsid w:val="007027E0"/>
    <w:rsid w:val="00713CDF"/>
    <w:rsid w:val="007142CF"/>
    <w:rsid w:val="00717606"/>
    <w:rsid w:val="007204F8"/>
    <w:rsid w:val="00740BC7"/>
    <w:rsid w:val="007515AD"/>
    <w:rsid w:val="007555D8"/>
    <w:rsid w:val="007629CE"/>
    <w:rsid w:val="00765D35"/>
    <w:rsid w:val="00773F77"/>
    <w:rsid w:val="00790305"/>
    <w:rsid w:val="007A1E1B"/>
    <w:rsid w:val="007A3D43"/>
    <w:rsid w:val="007A4660"/>
    <w:rsid w:val="007A66C0"/>
    <w:rsid w:val="007A6922"/>
    <w:rsid w:val="007B11E6"/>
    <w:rsid w:val="007B3897"/>
    <w:rsid w:val="007B5AE6"/>
    <w:rsid w:val="007D12F1"/>
    <w:rsid w:val="007E7E66"/>
    <w:rsid w:val="007F49FD"/>
    <w:rsid w:val="00800280"/>
    <w:rsid w:val="00802F45"/>
    <w:rsid w:val="00804222"/>
    <w:rsid w:val="008064C5"/>
    <w:rsid w:val="008222B1"/>
    <w:rsid w:val="0082648F"/>
    <w:rsid w:val="00826E45"/>
    <w:rsid w:val="0082754F"/>
    <w:rsid w:val="00827EED"/>
    <w:rsid w:val="008425A7"/>
    <w:rsid w:val="00842AB8"/>
    <w:rsid w:val="00847B4D"/>
    <w:rsid w:val="00847E1C"/>
    <w:rsid w:val="0085193B"/>
    <w:rsid w:val="0086367C"/>
    <w:rsid w:val="008646AB"/>
    <w:rsid w:val="0086517E"/>
    <w:rsid w:val="00866BE0"/>
    <w:rsid w:val="00867A5E"/>
    <w:rsid w:val="00881C68"/>
    <w:rsid w:val="00884B65"/>
    <w:rsid w:val="008871CB"/>
    <w:rsid w:val="00887DC7"/>
    <w:rsid w:val="00892516"/>
    <w:rsid w:val="00892AA9"/>
    <w:rsid w:val="008A5713"/>
    <w:rsid w:val="008C044F"/>
    <w:rsid w:val="008C12E5"/>
    <w:rsid w:val="008C38FB"/>
    <w:rsid w:val="008D39D1"/>
    <w:rsid w:val="008D6E78"/>
    <w:rsid w:val="008E06BE"/>
    <w:rsid w:val="008E16D4"/>
    <w:rsid w:val="00901F64"/>
    <w:rsid w:val="00902DA4"/>
    <w:rsid w:val="00921B23"/>
    <w:rsid w:val="00924037"/>
    <w:rsid w:val="0095279F"/>
    <w:rsid w:val="00954939"/>
    <w:rsid w:val="009664AC"/>
    <w:rsid w:val="009666B8"/>
    <w:rsid w:val="00966CF5"/>
    <w:rsid w:val="00973101"/>
    <w:rsid w:val="009B3359"/>
    <w:rsid w:val="009C5589"/>
    <w:rsid w:val="009C57CA"/>
    <w:rsid w:val="009D4699"/>
    <w:rsid w:val="009D46EE"/>
    <w:rsid w:val="009E1423"/>
    <w:rsid w:val="00A039EB"/>
    <w:rsid w:val="00A04BCB"/>
    <w:rsid w:val="00A14117"/>
    <w:rsid w:val="00A15B8D"/>
    <w:rsid w:val="00A20314"/>
    <w:rsid w:val="00A22C19"/>
    <w:rsid w:val="00A257D8"/>
    <w:rsid w:val="00A30015"/>
    <w:rsid w:val="00A31841"/>
    <w:rsid w:val="00A379CF"/>
    <w:rsid w:val="00A50AB9"/>
    <w:rsid w:val="00A511AF"/>
    <w:rsid w:val="00A51D42"/>
    <w:rsid w:val="00A715F4"/>
    <w:rsid w:val="00A939D7"/>
    <w:rsid w:val="00A94C85"/>
    <w:rsid w:val="00A96E7D"/>
    <w:rsid w:val="00AA4CB2"/>
    <w:rsid w:val="00AA6CD5"/>
    <w:rsid w:val="00AB0AC5"/>
    <w:rsid w:val="00AE420B"/>
    <w:rsid w:val="00AE5FB4"/>
    <w:rsid w:val="00AF3FBD"/>
    <w:rsid w:val="00AF7EDB"/>
    <w:rsid w:val="00B2338F"/>
    <w:rsid w:val="00B33279"/>
    <w:rsid w:val="00B33713"/>
    <w:rsid w:val="00B33A0A"/>
    <w:rsid w:val="00B3736B"/>
    <w:rsid w:val="00B4211A"/>
    <w:rsid w:val="00B525EB"/>
    <w:rsid w:val="00B5735C"/>
    <w:rsid w:val="00B7036D"/>
    <w:rsid w:val="00B706BC"/>
    <w:rsid w:val="00B71826"/>
    <w:rsid w:val="00B9696D"/>
    <w:rsid w:val="00BA3D30"/>
    <w:rsid w:val="00BB0781"/>
    <w:rsid w:val="00BC2810"/>
    <w:rsid w:val="00BE3377"/>
    <w:rsid w:val="00BF2A46"/>
    <w:rsid w:val="00BF544D"/>
    <w:rsid w:val="00BF74DF"/>
    <w:rsid w:val="00C223FD"/>
    <w:rsid w:val="00C266AB"/>
    <w:rsid w:val="00C370FF"/>
    <w:rsid w:val="00C4419D"/>
    <w:rsid w:val="00C44912"/>
    <w:rsid w:val="00C45438"/>
    <w:rsid w:val="00C46958"/>
    <w:rsid w:val="00C50738"/>
    <w:rsid w:val="00C51123"/>
    <w:rsid w:val="00C536E5"/>
    <w:rsid w:val="00C53F26"/>
    <w:rsid w:val="00C56A9D"/>
    <w:rsid w:val="00C61251"/>
    <w:rsid w:val="00C643CC"/>
    <w:rsid w:val="00C76306"/>
    <w:rsid w:val="00C83D20"/>
    <w:rsid w:val="00CA3077"/>
    <w:rsid w:val="00CA34B0"/>
    <w:rsid w:val="00CC428E"/>
    <w:rsid w:val="00CC5C46"/>
    <w:rsid w:val="00CE5182"/>
    <w:rsid w:val="00CE63A0"/>
    <w:rsid w:val="00CE6B0D"/>
    <w:rsid w:val="00CF0A18"/>
    <w:rsid w:val="00CF0F2D"/>
    <w:rsid w:val="00CF3956"/>
    <w:rsid w:val="00D02BA1"/>
    <w:rsid w:val="00D04A32"/>
    <w:rsid w:val="00D113E2"/>
    <w:rsid w:val="00D2015D"/>
    <w:rsid w:val="00D26F6A"/>
    <w:rsid w:val="00D3313F"/>
    <w:rsid w:val="00D351FB"/>
    <w:rsid w:val="00D3728E"/>
    <w:rsid w:val="00D40ECE"/>
    <w:rsid w:val="00D42A96"/>
    <w:rsid w:val="00D5168C"/>
    <w:rsid w:val="00D70D3D"/>
    <w:rsid w:val="00D72C24"/>
    <w:rsid w:val="00D7405C"/>
    <w:rsid w:val="00D92C2C"/>
    <w:rsid w:val="00D93795"/>
    <w:rsid w:val="00D94106"/>
    <w:rsid w:val="00D96D0B"/>
    <w:rsid w:val="00DA0408"/>
    <w:rsid w:val="00DB2002"/>
    <w:rsid w:val="00DC0F14"/>
    <w:rsid w:val="00DC755E"/>
    <w:rsid w:val="00DE36D4"/>
    <w:rsid w:val="00DE44B1"/>
    <w:rsid w:val="00DF2DE8"/>
    <w:rsid w:val="00E1241D"/>
    <w:rsid w:val="00E139F8"/>
    <w:rsid w:val="00E25696"/>
    <w:rsid w:val="00E2679E"/>
    <w:rsid w:val="00E3453D"/>
    <w:rsid w:val="00E425F9"/>
    <w:rsid w:val="00E4535B"/>
    <w:rsid w:val="00E5238D"/>
    <w:rsid w:val="00E53634"/>
    <w:rsid w:val="00E551C4"/>
    <w:rsid w:val="00E635DA"/>
    <w:rsid w:val="00E640E7"/>
    <w:rsid w:val="00E7039D"/>
    <w:rsid w:val="00E75E65"/>
    <w:rsid w:val="00E75F92"/>
    <w:rsid w:val="00EA00A6"/>
    <w:rsid w:val="00EA0887"/>
    <w:rsid w:val="00EA702F"/>
    <w:rsid w:val="00EA7B7E"/>
    <w:rsid w:val="00EB4D4E"/>
    <w:rsid w:val="00ED057C"/>
    <w:rsid w:val="00EE0850"/>
    <w:rsid w:val="00EE2E49"/>
    <w:rsid w:val="00EE3D61"/>
    <w:rsid w:val="00EE6F78"/>
    <w:rsid w:val="00F0727A"/>
    <w:rsid w:val="00F07DEE"/>
    <w:rsid w:val="00F2095A"/>
    <w:rsid w:val="00F2259A"/>
    <w:rsid w:val="00F23ACF"/>
    <w:rsid w:val="00F26A83"/>
    <w:rsid w:val="00F32391"/>
    <w:rsid w:val="00F32E2F"/>
    <w:rsid w:val="00F40A18"/>
    <w:rsid w:val="00F43C88"/>
    <w:rsid w:val="00F440A9"/>
    <w:rsid w:val="00F51BC0"/>
    <w:rsid w:val="00F555E6"/>
    <w:rsid w:val="00F67305"/>
    <w:rsid w:val="00F728A0"/>
    <w:rsid w:val="00F917BC"/>
    <w:rsid w:val="00FA3B30"/>
    <w:rsid w:val="00FA458C"/>
    <w:rsid w:val="00FB1C9B"/>
    <w:rsid w:val="00FB341C"/>
    <w:rsid w:val="00FC638D"/>
    <w:rsid w:val="00FD0631"/>
    <w:rsid w:val="00FE00EA"/>
    <w:rsid w:val="00FF0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A459"/>
  <w15:docId w15:val="{92DD0069-2DF3-4626-ADC6-1274E15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Unicode M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edebulles">
    <w:name w:val="Balloon Text"/>
    <w:basedOn w:val="Normal"/>
    <w:rPr>
      <w:rFonts w:ascii="Segoe UI" w:eastAsia="Segoe UI" w:hAnsi="Segoe UI" w:cs="Segoe UI"/>
      <w:sz w:val="18"/>
      <w:szCs w:val="18"/>
    </w:rPr>
  </w:style>
  <w:style w:type="paragraph" w:styleId="Objetducommentaire">
    <w:name w:val="annotation subject"/>
    <w:basedOn w:val="Comment"/>
    <w:next w:val="Comment"/>
    <w:rPr>
      <w:b/>
      <w:bCs/>
    </w:rPr>
  </w:style>
  <w:style w:type="paragraph" w:customStyle="1" w:styleId="Comment">
    <w:name w:val="Comment"/>
    <w:basedOn w:val="Normal"/>
    <w:rPr>
      <w:sz w:val="20"/>
      <w:szCs w:val="20"/>
    </w:rPr>
  </w:style>
  <w:style w:type="paragraph" w:styleId="Paragraphedeliste">
    <w:name w:val="List Paragraph"/>
    <w:basedOn w:val="Standard"/>
    <w:pPr>
      <w:ind w:left="720"/>
    </w:pPr>
  </w:style>
  <w:style w:type="paragraph" w:customStyle="1" w:styleId="TableContents">
    <w:name w:val="Table Contents"/>
    <w:basedOn w:val="Standard"/>
    <w:pPr>
      <w:widowControl w:val="0"/>
      <w:suppressLineNumbers/>
    </w:pPr>
  </w:style>
  <w:style w:type="character" w:customStyle="1" w:styleId="TextedebullesCar">
    <w:name w:val="Texte de bulles Car"/>
    <w:basedOn w:val="Policepardfaut"/>
    <w:rPr>
      <w:rFonts w:ascii="Segoe UI" w:eastAsia="Segoe UI" w:hAnsi="Segoe UI" w:cs="Segoe UI"/>
      <w:sz w:val="18"/>
      <w:szCs w:val="18"/>
    </w:rPr>
  </w:style>
  <w:style w:type="character" w:customStyle="1" w:styleId="ObjetducommentaireCar">
    <w:name w:val="Objet du commentaire Car"/>
    <w:basedOn w:val="CommentaireCar"/>
    <w:rPr>
      <w:b/>
      <w:bCs/>
      <w:sz w:val="20"/>
      <w:szCs w:val="20"/>
    </w:rPr>
  </w:style>
  <w:style w:type="character" w:customStyle="1" w:styleId="CommentaireCar">
    <w:name w:val="Commentaire Car"/>
    <w:basedOn w:val="Policepardfaut"/>
    <w:rPr>
      <w:sz w:val="20"/>
      <w:szCs w:val="20"/>
    </w:rPr>
  </w:style>
  <w:style w:type="character" w:styleId="Marquedecommentaire">
    <w:name w:val="annotation reference"/>
    <w:basedOn w:val="Policepardfaut"/>
    <w:rPr>
      <w:sz w:val="16"/>
      <w:szCs w:val="16"/>
    </w:rPr>
  </w:style>
  <w:style w:type="character" w:customStyle="1" w:styleId="ListLabel36">
    <w:name w:val="ListLabel 36"/>
  </w:style>
  <w:style w:type="character" w:customStyle="1" w:styleId="ListLabel35">
    <w:name w:val="ListLabel 35"/>
    <w:rPr>
      <w:rFonts w:cs="Courier New"/>
    </w:rPr>
  </w:style>
  <w:style w:type="character" w:customStyle="1" w:styleId="ListLabel34">
    <w:name w:val="ListLabel 34"/>
  </w:style>
  <w:style w:type="character" w:customStyle="1" w:styleId="ListLabel33">
    <w:name w:val="ListLabel 33"/>
  </w:style>
  <w:style w:type="character" w:customStyle="1" w:styleId="ListLabel32">
    <w:name w:val="ListLabel 32"/>
    <w:rPr>
      <w:rFonts w:cs="Courier New"/>
    </w:rPr>
  </w:style>
  <w:style w:type="character" w:customStyle="1" w:styleId="ListLabel31">
    <w:name w:val="ListLabel 31"/>
  </w:style>
  <w:style w:type="character" w:customStyle="1" w:styleId="ListLabel30">
    <w:name w:val="ListLabel 30"/>
  </w:style>
  <w:style w:type="character" w:customStyle="1" w:styleId="ListLabel29">
    <w:name w:val="ListLabel 29"/>
    <w:rPr>
      <w:rFonts w:cs="Courier New"/>
    </w:rPr>
  </w:style>
  <w:style w:type="character" w:customStyle="1" w:styleId="ListLabel28">
    <w:name w:val="ListLabel 28"/>
  </w:style>
  <w:style w:type="character" w:customStyle="1" w:styleId="ListLabel27">
    <w:name w:val="ListLabel 27"/>
  </w:style>
  <w:style w:type="character" w:customStyle="1" w:styleId="ListLabel26">
    <w:name w:val="ListLabel 26"/>
    <w:rPr>
      <w:rFonts w:cs="Courier New"/>
    </w:rPr>
  </w:style>
  <w:style w:type="character" w:customStyle="1" w:styleId="ListLabel25">
    <w:name w:val="ListLabel 25"/>
  </w:style>
  <w:style w:type="character" w:customStyle="1" w:styleId="ListLabel24">
    <w:name w:val="ListLabel 24"/>
  </w:style>
  <w:style w:type="character" w:customStyle="1" w:styleId="ListLabel23">
    <w:name w:val="ListLabel 23"/>
    <w:rPr>
      <w:rFonts w:cs="Courier New"/>
    </w:rPr>
  </w:style>
  <w:style w:type="character" w:customStyle="1" w:styleId="ListLabel22">
    <w:name w:val="ListLabel 22"/>
  </w:style>
  <w:style w:type="character" w:customStyle="1" w:styleId="ListLabel21">
    <w:name w:val="ListLabel 21"/>
  </w:style>
  <w:style w:type="character" w:customStyle="1" w:styleId="ListLabel20">
    <w:name w:val="ListLabel 20"/>
    <w:rPr>
      <w:rFonts w:cs="Courier New"/>
    </w:rPr>
  </w:style>
  <w:style w:type="character" w:customStyle="1" w:styleId="ListLabel19">
    <w:name w:val="ListLabel 19"/>
  </w:style>
  <w:style w:type="character" w:customStyle="1" w:styleId="ListLabel18">
    <w:name w:val="ListLabel 18"/>
  </w:style>
  <w:style w:type="character" w:customStyle="1" w:styleId="ListLabel17">
    <w:name w:val="ListLabel 17"/>
    <w:rPr>
      <w:rFonts w:cs="Courier New"/>
    </w:rPr>
  </w:style>
  <w:style w:type="character" w:customStyle="1" w:styleId="ListLabel16">
    <w:name w:val="ListLabel 16"/>
  </w:style>
  <w:style w:type="character" w:customStyle="1" w:styleId="ListLabel15">
    <w:name w:val="ListLabel 15"/>
  </w:style>
  <w:style w:type="character" w:customStyle="1" w:styleId="ListLabel14">
    <w:name w:val="ListLabel 14"/>
    <w:rPr>
      <w:rFonts w:cs="Courier New"/>
    </w:rPr>
  </w:style>
  <w:style w:type="character" w:customStyle="1" w:styleId="ListLabel13">
    <w:name w:val="ListLabel 13"/>
  </w:style>
  <w:style w:type="character" w:customStyle="1" w:styleId="ListLabel12">
    <w:name w:val="ListLabel 12"/>
  </w:style>
  <w:style w:type="character" w:customStyle="1" w:styleId="ListLabel11">
    <w:name w:val="ListLabel 11"/>
    <w:rPr>
      <w:rFonts w:cs="Courier New"/>
    </w:rPr>
  </w:style>
  <w:style w:type="character" w:customStyle="1" w:styleId="ListLabel10">
    <w:name w:val="ListLabel 10"/>
  </w:style>
  <w:style w:type="character" w:customStyle="1" w:styleId="ListLabel9">
    <w:name w:val="ListLabel 9"/>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style>
  <w:style w:type="character" w:customStyle="1" w:styleId="ListLabel3">
    <w:name w:val="ListLabel 3"/>
  </w:style>
  <w:style w:type="character" w:customStyle="1" w:styleId="ListLabel2">
    <w:name w:val="ListLabel 2"/>
  </w:style>
  <w:style w:type="character" w:customStyle="1" w:styleId="ListLabel1">
    <w:name w:val="ListLabel 1"/>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paragraph" w:styleId="NormalWeb">
    <w:name w:val="Normal (Web)"/>
    <w:basedOn w:val="Normal"/>
    <w:uiPriority w:val="99"/>
    <w:unhideWhenUsed/>
    <w:rsid w:val="00360349"/>
    <w:pPr>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character" w:customStyle="1" w:styleId="fadeinm1hgl8">
    <w:name w:val="_fadein_m1hgl_8"/>
    <w:basedOn w:val="Policepardfaut"/>
    <w:rsid w:val="00360349"/>
  </w:style>
  <w:style w:type="paragraph" w:styleId="Rvision">
    <w:name w:val="Revision"/>
    <w:hidden/>
    <w:uiPriority w:val="99"/>
    <w:semiHidden/>
    <w:rsid w:val="00145F56"/>
    <w:pPr>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42245">
      <w:bodyDiv w:val="1"/>
      <w:marLeft w:val="0"/>
      <w:marRight w:val="0"/>
      <w:marTop w:val="0"/>
      <w:marBottom w:val="0"/>
      <w:divBdr>
        <w:top w:val="none" w:sz="0" w:space="0" w:color="auto"/>
        <w:left w:val="none" w:sz="0" w:space="0" w:color="auto"/>
        <w:bottom w:val="none" w:sz="0" w:space="0" w:color="auto"/>
        <w:right w:val="none" w:sz="0" w:space="0" w:color="auto"/>
      </w:divBdr>
    </w:div>
    <w:div w:id="840656077">
      <w:bodyDiv w:val="1"/>
      <w:marLeft w:val="0"/>
      <w:marRight w:val="0"/>
      <w:marTop w:val="0"/>
      <w:marBottom w:val="0"/>
      <w:divBdr>
        <w:top w:val="none" w:sz="0" w:space="0" w:color="auto"/>
        <w:left w:val="none" w:sz="0" w:space="0" w:color="auto"/>
        <w:bottom w:val="none" w:sz="0" w:space="0" w:color="auto"/>
        <w:right w:val="none" w:sz="0" w:space="0" w:color="auto"/>
      </w:divBdr>
    </w:div>
    <w:div w:id="1503205148">
      <w:bodyDiv w:val="1"/>
      <w:marLeft w:val="0"/>
      <w:marRight w:val="0"/>
      <w:marTop w:val="0"/>
      <w:marBottom w:val="0"/>
      <w:divBdr>
        <w:top w:val="none" w:sz="0" w:space="0" w:color="auto"/>
        <w:left w:val="none" w:sz="0" w:space="0" w:color="auto"/>
        <w:bottom w:val="none" w:sz="0" w:space="0" w:color="auto"/>
        <w:right w:val="none" w:sz="0" w:space="0" w:color="auto"/>
      </w:divBdr>
    </w:div>
    <w:div w:id="1610894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622</Words>
  <Characters>3426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Universite Paris 1 Pantheon Sorbonne</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Anais Scalla</dc:creator>
  <cp:lastModifiedBy>julie.vidal@umontpellier.fr</cp:lastModifiedBy>
  <cp:revision>3</cp:revision>
  <dcterms:created xsi:type="dcterms:W3CDTF">2025-11-28T11:09:00Z</dcterms:created>
  <dcterms:modified xsi:type="dcterms:W3CDTF">2026-01-30T13:08:00Z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2025-03-08T14:36:35Z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3d426fbb-3897-4f8b-89b0-ff3bfd539e0e</vt:lpwstr>
  </property>
  <property fmtid="{D5CDD505-2E9C-101B-9397-08002B2CF9AE}" pid="8" name="MSIP_Label_d5c20be7-c3a5-46e3-9158-fa8a02ce2395_ContentBits">
    <vt:lpwstr>0</vt:lpwstr>
  </property>
</Properties>
</file>